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webSettings.xml" ContentType="application/vnd.openxmlformats-officedocument.wordprocessingml.webSettings+xml"/>
  <Override PartName="/word/footnotes.xml" ContentType="application/vnd.openxmlformats-officedocument.wordprocessingml.footnot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6D32BCA7">
      <w:pPr>
        <w:pBdr>
          <w:top w:val="none" w:color="000000" w:sz="4" w:space="0"/>
          <w:left w:val="none" w:color="000000" w:sz="4" w:space="0"/>
          <w:bottom w:val="none" w:color="000000" w:sz="4" w:space="0"/>
          <w:right w:val="none" w:color="000000" w:sz="4" w:space="0"/>
        </w:pBdr>
        <w:spacing w:after="0" w:before="0" w:line="331" w:lineRule="auto"/>
        <w:ind w:right="0" w:firstLine="0" w:left="0"/>
        <w:rPr/>
      </w:pPr>
      <w:r>
        <w:rPr>
          <w:rFonts w:ascii="Liberation Sans" w:hAnsi="Liberation Sans" w:eastAsia="Liberation Sans" w:cs="Liberation Sans"/>
          <w:b/>
          <w:color w:val="1f1f1f"/>
          <w:sz w:val="26"/>
          <w:u w:val="none"/>
        </w:rPr>
        <w:t xml:space="preserve">2027'de SKDM: Ödeme Dönemi Başlıyor, Kurallar Değişmeye Devam Ediyor</w:t>
      </w:r>
      <w:r/>
    </w:p>
    <w:p w14:paraId="081C09D7">
      <w:pPr>
        <w:pBdr>
          <w:top w:val="none" w:color="000000" w:sz="4" w:space="0"/>
          <w:left w:val="none" w:color="000000" w:sz="4" w:space="0"/>
          <w:bottom w:val="none" w:color="000000" w:sz="4" w:space="0"/>
          <w:right w:val="none" w:color="000000" w:sz="4" w:space="0"/>
        </w:pBdr>
        <w:spacing w:after="0" w:before="0" w:line="331" w:lineRule="auto"/>
        <w:ind w:right="0" w:firstLine="0" w:left="0"/>
        <w:rPr/>
      </w:pPr>
      <w:r>
        <w:rPr>
          <w:rFonts w:ascii="Liberation Sans" w:hAnsi="Liberation Sans" w:eastAsia="Liberation Sans" w:cs="Liberation Sans"/>
          <w:color w:val="1f1f1f"/>
          <w:sz w:val="22"/>
          <w:u w:val="none"/>
        </w:rPr>
        <w:t xml:space="preserve">Avrupa Birliği'nin Sınırda Karbon Düzenleme Mekanizması (SKDM) 1 Ocak 2026'da kesin döneme geçti. Ancak ilk mali yük 2027'de ortaya çıkacak. 2027, AB'de sertifika ödemelerinin başladığı ve Türkiye'de karbon fiyatının ilk kez devreye girdiği yıl olacak. Bu </w:t>
      </w:r>
      <w:r>
        <w:rPr>
          <w:rFonts w:ascii="Liberation Sans" w:hAnsi="Liberation Sans" w:eastAsia="Liberation Sans" w:cs="Liberation Sans"/>
          <w:color w:val="1f1f1f"/>
          <w:sz w:val="22"/>
          <w:u w:val="none"/>
        </w:rPr>
        <w:t xml:space="preserve">yazı, 1 Ekim 2026 itibarıyla yürürlükteki mevzuata ve süren yasama süreçlerine göre 2027'de beklenen gelişmeleri özetliyor.</w:t>
      </w:r>
      <w:r/>
    </w:p>
    <w:p w14:paraId="1DED2CF1">
      <w:pPr>
        <w:pBdr>
          <w:top w:val="none" w:color="000000" w:sz="4" w:space="0"/>
          <w:left w:val="none" w:color="000000" w:sz="4" w:space="0"/>
          <w:bottom w:val="none" w:color="000000" w:sz="4" w:space="0"/>
          <w:right w:val="none" w:color="000000" w:sz="4" w:space="0"/>
        </w:pBdr>
        <w:spacing w:after="0" w:before="0" w:line="331" w:lineRule="auto"/>
        <w:ind w:right="0" w:firstLine="0" w:left="0"/>
        <w:rPr/>
      </w:pPr>
      <w:r>
        <w:rPr>
          <w:rFonts w:ascii="Liberation Sans" w:hAnsi="Liberation Sans" w:eastAsia="Liberation Sans" w:cs="Liberation Sans"/>
          <w:color w:val="1f1f1f"/>
          <w:sz w:val="22"/>
          <w:u w:val="none"/>
        </w:rPr>
        <w:t xml:space="preserve">Kesinleşmiş Takvim</w:t>
      </w:r>
      <w:r/>
    </w:p>
    <w:p w14:paraId="1D009F11">
      <w:pPr>
        <w:pStyle w:val="892"/>
        <w:numPr>
          <w:ilvl w:val="0"/>
          <w:numId w:val="2"/>
        </w:numPr>
        <w:pBdr>
          <w:top w:val="none" w:color="000000" w:sz="4" w:space="0"/>
          <w:left w:val="none" w:color="000000" w:sz="4" w:space="0"/>
          <w:bottom w:val="none" w:color="000000" w:sz="4" w:space="0"/>
          <w:right w:val="none" w:color="000000" w:sz="4" w:space="0"/>
        </w:pBdr>
        <w:spacing w:after="0" w:before="0" w:line="331" w:lineRule="auto"/>
        <w:ind w:right="0"/>
        <w:rPr/>
      </w:pPr>
      <w:r>
        <w:rPr>
          <w:rFonts w:ascii="Liberation Sans" w:hAnsi="Liberation Sans" w:eastAsia="Liberation Sans" w:cs="Liberation Sans"/>
          <w:color w:val="1f1f1f"/>
          <w:sz w:val="22"/>
          <w:u w:val="none"/>
        </w:rPr>
        <w:t xml:space="preserve">1 Şubat 2027: Sertifika satışı başlıyor. Yetkilendirilmiş SKDM beyancıları sertifikaları bu tarihten itibaren AB'nin ortak merkezi platformundan satın alacak [1]. 2026 ithalatına ait sertifikalar 2027'de alınacak. Fiyatları ise ithalatın yapıldığı çeyreğin</w:t>
      </w:r>
      <w:r>
        <w:rPr>
          <w:rFonts w:ascii="Liberation Sans" w:hAnsi="Liberation Sans" w:eastAsia="Liberation Sans" w:cs="Liberation Sans"/>
          <w:color w:val="1f1f1f"/>
          <w:sz w:val="22"/>
          <w:u w:val="none"/>
        </w:rPr>
        <w:t xml:space="preserve"> AB ETS ihale ortalamasına göre belirlenecek [1]. Komisyon bu fiyatı 2026'nın ilk çeyreği için ton CO₂e başına 75,36 avro, ikinci çeyreği için 75,28 avro olarak açıkladı [2]. 2027 ithalatı için fiyat haftalık olarak hesaplanacak [1].</w:t>
      </w:r>
      <w:r/>
    </w:p>
    <w:p w14:paraId="226AB78F">
      <w:pPr>
        <w:pStyle w:val="892"/>
        <w:numPr>
          <w:ilvl w:val="0"/>
          <w:numId w:val="2"/>
        </w:numPr>
        <w:pBdr>
          <w:top w:val="none" w:color="000000" w:sz="4" w:space="0"/>
          <w:left w:val="none" w:color="000000" w:sz="4" w:space="0"/>
          <w:bottom w:val="none" w:color="000000" w:sz="4" w:space="0"/>
          <w:right w:val="none" w:color="000000" w:sz="4" w:space="0"/>
        </w:pBdr>
        <w:spacing w:after="0" w:before="0" w:line="331" w:lineRule="auto"/>
        <w:ind w:right="0"/>
        <w:rPr/>
      </w:pPr>
      <w:r>
        <w:rPr>
          <w:rFonts w:ascii="Liberation Sans" w:hAnsi="Liberation Sans" w:eastAsia="Liberation Sans" w:cs="Liberation Sans"/>
          <w:color w:val="1f1f1f"/>
          <w:sz w:val="22"/>
          <w:u w:val="none"/>
        </w:rPr>
        <w:t xml:space="preserve">Çeyreklik Bulundurma Yükümlülüğü: 2027'den itibaren beyancılar her çeyrek sonunda, yıl başından beri ithal ettikleri malların gömülü emisyonlarının en az yüzde 50'sini karşılayan sertifikayı hesaplarında tutmak zorunda. Bu hesapta AB üreticilerine verilen </w:t>
      </w:r>
      <w:r>
        <w:rPr>
          <w:rFonts w:ascii="Liberation Sans" w:hAnsi="Liberation Sans" w:eastAsia="Liberation Sans" w:cs="Liberation Sans"/>
          <w:color w:val="1f1f1f"/>
          <w:sz w:val="22"/>
          <w:u w:val="none"/>
        </w:rPr>
        <w:t xml:space="preserve">ücretsiz tahsisata ilişkin düzeltme dikkate alınıyor [1]. Bu kural, ithalatçının nakit akışını yıl içine yayıyor.</w:t>
      </w:r>
      <w:r/>
    </w:p>
    <w:p w14:paraId="09CB36A6">
      <w:pPr>
        <w:pStyle w:val="892"/>
        <w:numPr>
          <w:ilvl w:val="0"/>
          <w:numId w:val="2"/>
        </w:numPr>
        <w:pBdr>
          <w:top w:val="none" w:color="000000" w:sz="4" w:space="0"/>
          <w:left w:val="none" w:color="000000" w:sz="4" w:space="0"/>
          <w:bottom w:val="none" w:color="000000" w:sz="4" w:space="0"/>
          <w:right w:val="none" w:color="000000" w:sz="4" w:space="0"/>
        </w:pBdr>
        <w:spacing w:after="0" w:before="0" w:line="331" w:lineRule="auto"/>
        <w:ind w:right="0"/>
        <w:rPr/>
      </w:pPr>
      <w:r>
        <w:rPr>
          <w:rFonts w:ascii="Liberation Sans" w:hAnsi="Liberation Sans" w:eastAsia="Liberation Sans" w:cs="Liberation Sans"/>
          <w:color w:val="1f1f1f"/>
          <w:sz w:val="22"/>
          <w:u w:val="none"/>
        </w:rPr>
        <w:t xml:space="preserve">30 Eylül 2027: İlk yıllık beyan. 2026 yılına ait ilk SKDM beyanı ve sertifika teslimi için son gün 30 Eylül 2027. Fazla sertifikaların geri alımı için talep 31 Ekim'e kadar yapılabilecek. 2026 emisyonları için alınıp kullanılmayan sertifikalar 1 Kasım 2027</w:t>
      </w:r>
      <w:r>
        <w:rPr>
          <w:rFonts w:ascii="Liberation Sans" w:hAnsi="Liberation Sans" w:eastAsia="Liberation Sans" w:cs="Liberation Sans"/>
          <w:color w:val="1f1f1f"/>
          <w:sz w:val="22"/>
          <w:u w:val="none"/>
        </w:rPr>
        <w:t xml:space="preserve">'de bedelsiz iptal edilecek [1].</w:t>
      </w:r>
      <w:r/>
    </w:p>
    <w:p w14:paraId="57D9BAF8">
      <w:pPr>
        <w:pStyle w:val="892"/>
        <w:numPr>
          <w:ilvl w:val="0"/>
          <w:numId w:val="2"/>
        </w:numPr>
        <w:pBdr>
          <w:top w:val="none" w:color="000000" w:sz="4" w:space="0"/>
          <w:left w:val="none" w:color="000000" w:sz="4" w:space="0"/>
          <w:bottom w:val="none" w:color="000000" w:sz="4" w:space="0"/>
          <w:right w:val="none" w:color="000000" w:sz="4" w:space="0"/>
        </w:pBdr>
        <w:spacing w:after="0" w:before="0" w:line="331" w:lineRule="auto"/>
        <w:ind w:right="0"/>
        <w:rPr/>
      </w:pPr>
      <w:r>
        <w:rPr>
          <w:rFonts w:ascii="Liberation Sans" w:hAnsi="Liberation Sans" w:eastAsia="Liberation Sans" w:cs="Liberation Sans"/>
          <w:color w:val="1f1f1f"/>
          <w:sz w:val="22"/>
          <w:u w:val="none"/>
        </w:rPr>
        <w:t xml:space="preserve">Ücretsiz Tahsisat Azalıyor: SKDM sektörlerinde AB üreticilerinin aldığı ücretsiz tahsisat oranı 2026'da yüzde 97,5 iken 2027'de yüzde 95'e iniyor [3]. Ücretsiz tahsisat düzeltmesi küçüldükçe ithalatçının teslim edeceği sertifika sayısı artıyor.</w:t>
      </w:r>
      <w:r/>
    </w:p>
    <w:p w14:paraId="45BED937">
      <w:pPr>
        <w:pStyle w:val="892"/>
        <w:numPr>
          <w:ilvl w:val="0"/>
          <w:numId w:val="2"/>
        </w:numPr>
        <w:pBdr>
          <w:top w:val="none" w:color="000000" w:sz="4" w:space="0"/>
          <w:left w:val="none" w:color="000000" w:sz="4" w:space="0"/>
          <w:bottom w:val="none" w:color="000000" w:sz="4" w:space="0"/>
          <w:right w:val="none" w:color="000000" w:sz="4" w:space="0"/>
        </w:pBdr>
        <w:spacing w:after="0" w:before="0" w:line="331" w:lineRule="auto"/>
        <w:ind w:right="0"/>
        <w:rPr/>
      </w:pPr>
      <w:r>
        <w:rPr>
          <w:rFonts w:ascii="Liberation Sans" w:hAnsi="Liberation Sans" w:eastAsia="Liberation Sans" w:cs="Liberation Sans"/>
          <w:color w:val="1f1f1f"/>
          <w:sz w:val="22"/>
          <w:u w:val="none"/>
        </w:rPr>
        <w:t xml:space="preserve">Üçüncü Ülke Karbon Fiyatı: Komisyon, 2027'den itibaren karbon fiyatlandırması olan ülkeler için yıllık varsayılan karbon fiyatlarını SKDM kayıt sisteminde yayımlayabilecek. Bu hesapta o ülkedeki iadeler ve telafiler düşülecek [1].</w:t>
      </w:r>
      <w:r/>
    </w:p>
    <w:p w14:paraId="76DF9EC9">
      <w:pPr>
        <w:pBdr>
          <w:top w:val="none" w:color="000000" w:sz="4" w:space="0"/>
          <w:left w:val="none" w:color="000000" w:sz="4" w:space="0"/>
          <w:bottom w:val="none" w:color="000000" w:sz="4" w:space="0"/>
          <w:right w:val="none" w:color="000000" w:sz="4" w:space="0"/>
        </w:pBdr>
        <w:spacing w:after="0" w:before="0" w:line="331" w:lineRule="auto"/>
        <w:ind w:right="0" w:firstLine="0" w:left="0"/>
        <w:rPr/>
      </w:pPr>
      <w:r>
        <w:rPr>
          <w:rFonts w:ascii="Liberation Sans" w:hAnsi="Liberation Sans" w:eastAsia="Liberation Sans" w:cs="Liberation Sans"/>
          <w:color w:val="1f1f1f"/>
          <w:sz w:val="22"/>
          <w:u w:val="none"/>
        </w:rPr>
        <w:t xml:space="preserve">Süren Yasama Süreçleri</w:t>
      </w:r>
      <w:r/>
    </w:p>
    <w:p w14:paraId="3C81BF1F">
      <w:pPr>
        <w:pStyle w:val="892"/>
        <w:numPr>
          <w:ilvl w:val="0"/>
          <w:numId w:val="2"/>
        </w:numPr>
        <w:pBdr>
          <w:top w:val="none" w:color="000000" w:sz="4" w:space="0"/>
          <w:left w:val="none" w:color="000000" w:sz="4" w:space="0"/>
          <w:bottom w:val="none" w:color="000000" w:sz="4" w:space="0"/>
          <w:right w:val="none" w:color="000000" w:sz="4" w:space="0"/>
        </w:pBdr>
        <w:spacing w:after="0" w:before="0" w:line="331" w:lineRule="auto"/>
        <w:ind w:right="0"/>
        <w:rPr/>
      </w:pPr>
      <w:r>
        <w:rPr>
          <w:rFonts w:ascii="Liberation Sans" w:hAnsi="Liberation Sans" w:eastAsia="Liberation Sans" w:cs="Liberation Sans"/>
          <w:color w:val="1f1f1f"/>
          <w:sz w:val="22"/>
          <w:u w:val="none"/>
        </w:rPr>
        <w:t xml:space="preserve">Kapsamın Mamul Ürünlere Genişlemesi: Komisyon 17 Aralık 2025'te SKDM kapsamını çelik ve alüminyum içeriği yüksek yaklaşık 180 mamul ürüne genişletmeyi önerdi. Öneriye göre genişleme 1 Ocak 2028'de uygulanacak [4]. Konsey 12 Haziran 2026'da listeyi yaklaşık</w:t>
      </w:r>
      <w:r>
        <w:rPr>
          <w:rFonts w:ascii="Liberation Sans" w:hAnsi="Liberation Sans" w:eastAsia="Liberation Sans" w:cs="Liberation Sans"/>
          <w:color w:val="1f1f1f"/>
          <w:sz w:val="22"/>
          <w:u w:val="none"/>
        </w:rPr>
        <w:t xml:space="preserve"> 200 ürüne çıkaran tutumunu kabul etti [5]. Avrupa Parlamentosu ise 15 Eylül 2026'da müzakere tutumunu belirledi ve dosya kurumlar arası müzakerelere geçti [6]. Parlamentonun Çevre Komitesi raporu 457 ürün ve daha sıkı kaçınma önleme kuralları öngörüyordu </w:t>
      </w:r>
      <w:r>
        <w:rPr>
          <w:rFonts w:ascii="Liberation Sans" w:hAnsi="Liberation Sans" w:eastAsia="Liberation Sans" w:cs="Liberation Sans"/>
          <w:color w:val="1f1f1f"/>
          <w:sz w:val="22"/>
          <w:u w:val="none"/>
        </w:rPr>
        <w:t xml:space="preserve">[7]. Konsey, yıl sonundan önce uzlaşma hedeflediğini açıkladı [5]. Nihai metnin kabulü ve uygulama hazırlıkları büyük olasılıkla 2027 gündeminin merkezinde olacak. Bağlantı elemanı, tel, yay ve metal ev eşyası gibi mamuller ihraç eden firmalar için 2027 bi</w:t>
      </w:r>
      <w:r>
        <w:rPr>
          <w:rFonts w:ascii="Liberation Sans" w:hAnsi="Liberation Sans" w:eastAsia="Liberation Sans" w:cs="Liberation Sans"/>
          <w:color w:val="1f1f1f"/>
          <w:sz w:val="22"/>
          <w:u w:val="none"/>
        </w:rPr>
        <w:t xml:space="preserve">r hazırlık yılıdır.</w:t>
      </w:r>
      <w:r/>
    </w:p>
    <w:p w14:paraId="32C55BF1">
      <w:pPr>
        <w:pStyle w:val="892"/>
        <w:numPr>
          <w:ilvl w:val="0"/>
          <w:numId w:val="2"/>
        </w:numPr>
        <w:pBdr>
          <w:top w:val="none" w:color="000000" w:sz="4" w:space="0"/>
          <w:left w:val="none" w:color="000000" w:sz="4" w:space="0"/>
          <w:bottom w:val="none" w:color="000000" w:sz="4" w:space="0"/>
          <w:right w:val="none" w:color="000000" w:sz="4" w:space="0"/>
        </w:pBdr>
        <w:spacing w:after="0" w:before="0" w:line="331" w:lineRule="auto"/>
        <w:ind w:right="0"/>
        <w:rPr/>
      </w:pPr>
      <w:r>
        <w:rPr>
          <w:rFonts w:ascii="Liberation Sans" w:hAnsi="Liberation Sans" w:eastAsia="Liberation Sans" w:cs="Liberation Sans"/>
          <w:color w:val="1f1f1f"/>
          <w:sz w:val="22"/>
          <w:u w:val="none"/>
        </w:rPr>
        <w:t xml:space="preserve">ETS Reformu: Komisyon 17 Temmuz 2026'da AB ETS revizyonunu önerdi. Öneri, SKDM sektörlerinde ücretsiz tahsisatın azaltılmasını yavaşlatıyor ve tamamen kalkmasını 2038'e uzatıyor [8]. Değişiklik 2028'den itibaren işleyecek şekilde tasarlandı ve 2027 oranlar</w:t>
      </w:r>
      <w:r>
        <w:rPr>
          <w:rFonts w:ascii="Liberation Sans" w:hAnsi="Liberation Sans" w:eastAsia="Liberation Sans" w:cs="Liberation Sans"/>
          <w:color w:val="1f1f1f"/>
          <w:sz w:val="22"/>
          <w:u w:val="none"/>
        </w:rPr>
        <w:t xml:space="preserve">ını etkilemiyor. Kurumlar arası müzakerelerin Ocak 2027'de başlaması planlanıyor [9].</w:t>
      </w:r>
      <w:r/>
    </w:p>
    <w:p w14:paraId="621F46D8">
      <w:pPr>
        <w:pBdr>
          <w:top w:val="none" w:color="000000" w:sz="4" w:space="0"/>
          <w:left w:val="none" w:color="000000" w:sz="4" w:space="0"/>
          <w:bottom w:val="none" w:color="000000" w:sz="4" w:space="0"/>
          <w:right w:val="none" w:color="000000" w:sz="4" w:space="0"/>
        </w:pBdr>
        <w:spacing w:after="0" w:before="0" w:line="331" w:lineRule="auto"/>
        <w:ind w:right="0" w:firstLine="0" w:left="0"/>
        <w:rPr/>
      </w:pPr>
      <w:r>
        <w:rPr>
          <w:rFonts w:ascii="Liberation Sans" w:hAnsi="Liberation Sans" w:eastAsia="Liberation Sans" w:cs="Liberation Sans"/>
          <w:color w:val="1f1f1f"/>
          <w:sz w:val="22"/>
          <w:u w:val="none"/>
        </w:rPr>
        <w:t xml:space="preserve">Türkiye Tarafı: TR ETS'de Fiyat Dönemi</w:t>
      </w:r>
      <w:r/>
    </w:p>
    <w:p w14:paraId="1F5C709F">
      <w:pPr>
        <w:pBdr>
          <w:top w:val="none" w:color="000000" w:sz="4" w:space="0"/>
          <w:left w:val="none" w:color="000000" w:sz="4" w:space="0"/>
          <w:bottom w:val="none" w:color="000000" w:sz="4" w:space="0"/>
          <w:right w:val="none" w:color="000000" w:sz="4" w:space="0"/>
        </w:pBdr>
        <w:spacing w:after="0" w:before="0" w:line="331" w:lineRule="auto"/>
        <w:ind w:right="0" w:firstLine="0" w:left="0"/>
        <w:rPr/>
      </w:pPr>
      <w:r>
        <w:rPr>
          <w:rFonts w:ascii="Liberation Sans" w:hAnsi="Liberation Sans" w:eastAsia="Liberation Sans" w:cs="Liberation Sans"/>
          <w:color w:val="1f1f1f"/>
          <w:sz w:val="22"/>
          <w:u w:val="none"/>
        </w:rPr>
        <w:t xml:space="preserve">Türkiye Emisyon Ticaret Sistemi Yönetmeliği 27 Ağustos 2026 tarihli ve 33353 sayılı Resmî Gazete'de yayımlandı [10]. Karbon Piyasası Kurulunun KPK/2026/1 sayılı kararına göre pilot dönem 2026 ve 2027 emisyonlarını kapsıyor. Elektrik üretimi, çimento, demir</w:t>
      </w:r>
      <w:r>
        <w:rPr>
          <w:rFonts w:ascii="Liberation Sans" w:hAnsi="Liberation Sans" w:eastAsia="Liberation Sans" w:cs="Liberation Sans"/>
          <w:color w:val="1f1f1f"/>
          <w:sz w:val="22"/>
          <w:u w:val="none"/>
        </w:rPr>
        <w:t xml:space="preserve">-çelik, alüminyum ve gübre sektörlerindeki B ve C kategorisi tesisler pilot kapsamında. 2026 yalnızca raporlama yılı. Fiyat mekanizması 2027 sistem yılı itibarıyla başlıyor. Pilot dönemde ücretsiz tahsisat oranı kıyas yöntemine göre yüzde 100 [11].</w:t>
      </w:r>
      <w:r/>
    </w:p>
    <w:p w14:paraId="549A1E53">
      <w:pPr>
        <w:pBdr>
          <w:top w:val="none" w:color="000000" w:sz="4" w:space="0"/>
          <w:left w:val="none" w:color="000000" w:sz="4" w:space="0"/>
          <w:bottom w:val="none" w:color="000000" w:sz="4" w:space="0"/>
          <w:right w:val="none" w:color="000000" w:sz="4" w:space="0"/>
        </w:pBdr>
        <w:spacing w:after="0" w:before="0" w:line="331" w:lineRule="auto"/>
        <w:ind w:right="0" w:firstLine="0" w:left="0"/>
        <w:rPr/>
      </w:pPr>
      <w:r>
        <w:rPr>
          <w:rFonts w:ascii="Liberation Sans" w:hAnsi="Liberation Sans" w:eastAsia="Liberation Sans" w:cs="Liberation Sans"/>
          <w:color w:val="1f1f1f"/>
          <w:sz w:val="22"/>
          <w:u w:val="none"/>
        </w:rPr>
        <w:t xml:space="preserve">Bu gelişme SKDM ile doğrudan bağlantılı. SKDM Tüzüğünün 9. maddesi, üçüncü ülkede fiilen ödenen karbon fiyatının sertifika yükümlülüğünden düşülmesine izin veriyor. Ancak iadeler ve telafiler hesaba katılıyor [1]. Bu nedenle ücretsiz tahsisatın yüksek oldu</w:t>
      </w:r>
      <w:r>
        <w:rPr>
          <w:rFonts w:ascii="Liberation Sans" w:hAnsi="Liberation Sans" w:eastAsia="Liberation Sans" w:cs="Liberation Sans"/>
          <w:color w:val="1f1f1f"/>
          <w:sz w:val="22"/>
          <w:u w:val="none"/>
        </w:rPr>
        <w:t xml:space="preserve">ğu pilot dönemde indirimin sınırlı kalması beklenebilir. Kesin etki, açıklanacak kıyas değerlerine ve fiyat yöntemine bağlı olacak.</w:t>
      </w:r>
      <w:r/>
    </w:p>
    <w:p w14:paraId="5CB1152E">
      <w:pPr>
        <w:pBdr>
          <w:top w:val="none" w:color="000000" w:sz="4" w:space="0"/>
          <w:left w:val="none" w:color="000000" w:sz="4" w:space="0"/>
          <w:bottom w:val="none" w:color="000000" w:sz="4" w:space="0"/>
          <w:right w:val="none" w:color="000000" w:sz="4" w:space="0"/>
        </w:pBdr>
        <w:spacing w:after="0" w:before="0" w:line="331" w:lineRule="auto"/>
        <w:ind w:right="0" w:firstLine="0" w:left="0"/>
        <w:rPr/>
      </w:pPr>
      <w:r>
        <w:rPr>
          <w:rFonts w:ascii="Liberation Sans" w:hAnsi="Liberation Sans" w:eastAsia="Liberation Sans" w:cs="Liberation Sans"/>
          <w:color w:val="1f1f1f"/>
          <w:sz w:val="22"/>
          <w:u w:val="none"/>
        </w:rPr>
        <w:t xml:space="preserve">2027 İçin Yapılması Gerekenler</w:t>
      </w:r>
      <w:r/>
    </w:p>
    <w:p w14:paraId="5CC5B2A9">
      <w:pPr>
        <w:pStyle w:val="892"/>
        <w:numPr>
          <w:ilvl w:val="0"/>
          <w:numId w:val="2"/>
        </w:numPr>
        <w:pBdr>
          <w:top w:val="none" w:color="000000" w:sz="4" w:space="0"/>
          <w:left w:val="none" w:color="000000" w:sz="4" w:space="0"/>
          <w:bottom w:val="none" w:color="000000" w:sz="4" w:space="0"/>
          <w:right w:val="none" w:color="000000" w:sz="4" w:space="0"/>
        </w:pBdr>
        <w:spacing w:after="0" w:before="0" w:line="331" w:lineRule="auto"/>
        <w:ind w:right="0"/>
        <w:rPr/>
      </w:pPr>
      <w:r>
        <w:rPr>
          <w:rFonts w:ascii="Liberation Sans" w:hAnsi="Liberation Sans" w:eastAsia="Liberation Sans" w:cs="Liberation Sans"/>
          <w:color w:val="1f1f1f"/>
          <w:sz w:val="22"/>
          <w:u w:val="none"/>
        </w:rPr>
        <w:t xml:space="preserve">AB'deki alıcılarla sertifika bütçesini ve 30 Eylül takvimini birlikte planlayın.</w:t>
      </w:r>
      <w:r/>
    </w:p>
    <w:p w14:paraId="54D090A9">
      <w:pPr>
        <w:pStyle w:val="892"/>
        <w:numPr>
          <w:ilvl w:val="0"/>
          <w:numId w:val="2"/>
        </w:numPr>
        <w:pBdr>
          <w:top w:val="none" w:color="000000" w:sz="4" w:space="0"/>
          <w:left w:val="none" w:color="000000" w:sz="4" w:space="0"/>
          <w:bottom w:val="none" w:color="000000" w:sz="4" w:space="0"/>
          <w:right w:val="none" w:color="000000" w:sz="4" w:space="0"/>
        </w:pBdr>
        <w:spacing w:after="0" w:before="0" w:line="331" w:lineRule="auto"/>
        <w:ind w:right="0"/>
        <w:rPr/>
      </w:pPr>
      <w:r>
        <w:rPr>
          <w:rFonts w:ascii="Liberation Sans" w:hAnsi="Liberation Sans" w:eastAsia="Liberation Sans" w:cs="Liberation Sans"/>
          <w:color w:val="1f1f1f"/>
          <w:sz w:val="22"/>
          <w:u w:val="none"/>
        </w:rPr>
        <w:t xml:space="preserve">Gerçek emisyon verilerinizi akredite doğrulayıcıya doğrulatın. Aksi halde ek pay içeren varsayılan değerler uygulanır [1].</w:t>
      </w:r>
      <w:r/>
    </w:p>
    <w:p w14:paraId="05D6F91B">
      <w:pPr>
        <w:pStyle w:val="892"/>
        <w:numPr>
          <w:ilvl w:val="0"/>
          <w:numId w:val="2"/>
        </w:numPr>
        <w:pBdr>
          <w:top w:val="none" w:color="000000" w:sz="4" w:space="0"/>
          <w:left w:val="none" w:color="000000" w:sz="4" w:space="0"/>
          <w:bottom w:val="none" w:color="000000" w:sz="4" w:space="0"/>
          <w:right w:val="none" w:color="000000" w:sz="4" w:space="0"/>
        </w:pBdr>
        <w:spacing w:after="0" w:before="0" w:line="331" w:lineRule="auto"/>
        <w:ind w:right="0"/>
        <w:rPr/>
      </w:pPr>
      <w:r>
        <w:rPr>
          <w:rFonts w:ascii="Liberation Sans" w:hAnsi="Liberation Sans" w:eastAsia="Liberation Sans" w:cs="Liberation Sans"/>
          <w:color w:val="1f1f1f"/>
          <w:sz w:val="22"/>
          <w:u w:val="none"/>
        </w:rPr>
        <w:t xml:space="preserve">Ürün listenizi mamul genişlemesi açısından şimdiden gözden geçirin.</w:t>
      </w:r>
      <w:r/>
    </w:p>
    <w:p w14:paraId="587BFA12">
      <w:pPr>
        <w:pStyle w:val="892"/>
        <w:numPr>
          <w:ilvl w:val="0"/>
          <w:numId w:val="2"/>
        </w:numPr>
        <w:pBdr>
          <w:top w:val="none" w:color="000000" w:sz="4" w:space="0"/>
          <w:left w:val="none" w:color="000000" w:sz="4" w:space="0"/>
          <w:bottom w:val="none" w:color="000000" w:sz="4" w:space="0"/>
          <w:right w:val="none" w:color="000000" w:sz="4" w:space="0"/>
        </w:pBdr>
        <w:spacing w:after="0" w:before="0" w:line="331" w:lineRule="auto"/>
        <w:ind w:right="0"/>
        <w:rPr/>
      </w:pPr>
      <w:r>
        <w:rPr>
          <w:rFonts w:ascii="Liberation Sans" w:hAnsi="Liberation Sans" w:eastAsia="Liberation Sans" w:cs="Liberation Sans"/>
          <w:color w:val="1f1f1f"/>
          <w:sz w:val="22"/>
          <w:u w:val="none"/>
        </w:rPr>
        <w:t xml:space="preserve">TR ETS kapsamındaysanız 2026 emisyon ve faaliyet seviyesi raporlarını 30 Nisan 2027'ye kadar sunmanız gerekiyor [10].</w:t>
      </w:r>
      <w:r/>
    </w:p>
    <w:p w14:paraId="358884D0">
      <w:pPr>
        <w:pBdr>
          <w:top w:val="none" w:color="000000" w:sz="4" w:space="0"/>
          <w:left w:val="none" w:color="000000" w:sz="4" w:space="0"/>
          <w:bottom w:val="none" w:color="000000" w:sz="4" w:space="0"/>
          <w:right w:val="none" w:color="000000" w:sz="4" w:space="0"/>
        </w:pBdr>
        <w:spacing w:after="0" w:before="0" w:line="331" w:lineRule="auto"/>
        <w:ind w:right="0" w:firstLine="0" w:left="0"/>
        <w:rPr/>
      </w:pPr>
      <w:r>
        <w:rPr>
          <w:rFonts w:ascii="Liberation Sans" w:hAnsi="Liberation Sans" w:eastAsia="Liberation Sans" w:cs="Liberation Sans"/>
          <w:color w:val="1f1f1f"/>
          <w:sz w:val="22"/>
          <w:u w:val="none"/>
        </w:rPr>
        <w:t xml:space="preserve">SKDM'de 2027, hazırlık yılından ödeme yılına geçiş anlamına geliyor. Verisini erken toplayan firmalar maliyetlerini daha iyi yönetecek.</w:t>
      </w:r>
      <w:r/>
    </w:p>
    <w:p w14:paraId="68E0070A">
      <w:pPr>
        <w:pBdr>
          <w:top w:val="none" w:color="000000" w:sz="4" w:space="0"/>
          <w:left w:val="none" w:color="000000" w:sz="4" w:space="0"/>
          <w:bottom w:val="none" w:color="000000" w:sz="4" w:space="0"/>
          <w:right w:val="none" w:color="000000" w:sz="4" w:space="0"/>
        </w:pBdr>
        <w:spacing w:after="0" w:before="0" w:line="331" w:lineRule="auto"/>
        <w:ind w:right="0" w:firstLine="0" w:left="0"/>
        <w:rPr/>
      </w:pPr>
      <w:r>
        <w:rPr>
          <w:rFonts w:ascii="Liberation Sans" w:hAnsi="Liberation Sans" w:eastAsia="Liberation Sans" w:cs="Liberation Sans"/>
          <w:color w:val="1f1f1f"/>
          <w:sz w:val="22"/>
          <w:u w:val="none"/>
        </w:rPr>
        <w:t xml:space="preserve">Kaynakça</w:t>
      </w:r>
      <w:r/>
    </w:p>
    <w:p w14:paraId="11401E98">
      <w:pPr>
        <w:pBdr>
          <w:top w:val="none" w:color="000000" w:sz="4" w:space="0"/>
          <w:left w:val="none" w:color="000000" w:sz="4" w:space="0"/>
          <w:bottom w:val="none" w:color="000000" w:sz="4" w:space="0"/>
          <w:right w:val="none" w:color="000000" w:sz="4" w:space="0"/>
        </w:pBdr>
        <w:spacing w:after="0" w:before="0" w:line="331" w:lineRule="auto"/>
        <w:ind w:right="0" w:firstLine="0" w:left="0"/>
        <w:rPr/>
      </w:pPr>
      <w:r>
        <w:rPr>
          <w:rFonts w:ascii="Liberation Sans" w:hAnsi="Liberation Sans" w:eastAsia="Liberation Sans" w:cs="Liberation Sans"/>
          <w:color w:val="1f1f1f"/>
          <w:sz w:val="22"/>
          <w:u w:val="none"/>
        </w:rPr>
        <w:t xml:space="preserve">[1] Avrupa Parlamentosu ve Konsey. Regulation (EU) 2025/2083 of 8 October 2025 amending Regulation (EU) 2023/956 as regards simplifying and strengthening the carbon border adjustment mechanism. OJ L, 17.10.2025. Madde 1(5), 1(8), 1(16)-(20), 1(27) ve Ek I.</w:t>
      </w:r>
      <w:r>
        <w:rPr>
          <w:rFonts w:ascii="Liberation Sans" w:hAnsi="Liberation Sans" w:eastAsia="Liberation Sans" w:cs="Liberation Sans"/>
          <w:color w:val="1f1f1f"/>
          <w:sz w:val="22"/>
          <w:u w:val="none"/>
        </w:rPr>
        <w:t xml:space="preserve"> </w:t>
      </w:r>
      <w:hyperlink r:id="rId9" w:tooltip="https://eur-lex.europa.eu/eli/reg/2025/2083/oj" w:history="1">
        <w:r>
          <w:rPr>
            <w:rStyle w:val="874"/>
            <w:rFonts w:ascii="Liberation Sans" w:hAnsi="Liberation Sans" w:eastAsia="Liberation Sans" w:cs="Liberation Sans"/>
            <w:color w:val="000000"/>
            <w:sz w:val="22"/>
            <w:u w:val="single"/>
          </w:rPr>
          <w:t xml:space="preserve">https://eur-lex.europa.eu/eli/reg/2025/2083/oj</w:t>
        </w:r>
      </w:hyperlink>
      <w:r/>
      <w:r/>
    </w:p>
    <w:p w14:paraId="1D9743C8">
      <w:pPr>
        <w:pBdr>
          <w:top w:val="none" w:color="000000" w:sz="4" w:space="0"/>
          <w:left w:val="none" w:color="000000" w:sz="4" w:space="0"/>
          <w:bottom w:val="none" w:color="000000" w:sz="4" w:space="0"/>
          <w:right w:val="none" w:color="000000" w:sz="4" w:space="0"/>
        </w:pBdr>
        <w:spacing w:after="0" w:before="0" w:line="331" w:lineRule="auto"/>
        <w:ind w:right="0" w:firstLine="0" w:left="0"/>
        <w:rPr/>
      </w:pPr>
      <w:r>
        <w:rPr>
          <w:rFonts w:ascii="Liberation Sans" w:hAnsi="Liberation Sans" w:eastAsia="Liberation Sans" w:cs="Liberation Sans"/>
          <w:color w:val="1f1f1f"/>
          <w:sz w:val="22"/>
          <w:u w:val="none"/>
        </w:rPr>
        <w:t xml:space="preserve">[2] Avrupa Komisyonu, Vergilendirme ve Gümrük Birliği Genel Müdürlüğü. Price of CBAM certificates. Erişim: 1 Ekim 2026. </w:t>
      </w:r>
      <w:hyperlink r:id="rId10" w:tooltip="https://taxation-customs.ec.europa.eu/carbon-border-adjustment-mechanism/price-cbam-certificates_en" w:history="1">
        <w:r>
          <w:rPr>
            <w:rStyle w:val="874"/>
            <w:rFonts w:ascii="Liberation Sans" w:hAnsi="Liberation Sans" w:eastAsia="Liberation Sans" w:cs="Liberation Sans"/>
            <w:color w:val="000000"/>
            <w:sz w:val="22"/>
            <w:u w:val="single"/>
          </w:rPr>
          <w:t xml:space="preserve">https://taxation-customs.ec.europa.eu/carbon-border-adjustment-mechanism/price-cbam-certificates_en</w:t>
        </w:r>
      </w:hyperlink>
      <w:r/>
      <w:r/>
    </w:p>
    <w:p w14:paraId="11D0613A">
      <w:pPr>
        <w:pBdr>
          <w:top w:val="none" w:color="000000" w:sz="4" w:space="0"/>
          <w:left w:val="none" w:color="000000" w:sz="4" w:space="0"/>
          <w:bottom w:val="none" w:color="000000" w:sz="4" w:space="0"/>
          <w:right w:val="none" w:color="000000" w:sz="4" w:space="0"/>
        </w:pBdr>
        <w:spacing w:after="0" w:before="0" w:line="331" w:lineRule="auto"/>
        <w:ind w:right="0" w:firstLine="0" w:left="0"/>
        <w:rPr/>
      </w:pPr>
      <w:r>
        <w:rPr>
          <w:rFonts w:ascii="Liberation Sans" w:hAnsi="Liberation Sans" w:eastAsia="Liberation Sans" w:cs="Liberation Sans"/>
          <w:color w:val="1f1f1f"/>
          <w:sz w:val="22"/>
          <w:u w:val="none"/>
        </w:rPr>
        <w:t xml:space="preserve">[3] Avrupa Parlamentosu ve Konsey. Directive (EU) 2023/959 of 10 May 2023 amending Directive 2003/87/EC. Directive 2003/87/EC Madde 10a(1a) uyarınca SKDM faktörü. </w:t>
      </w:r>
      <w:hyperlink r:id="rId11" w:tooltip="https://eur-lex.europa.eu/eli/dir/2023/959/oj" w:history="1">
        <w:r>
          <w:rPr>
            <w:rStyle w:val="874"/>
            <w:rFonts w:ascii="Liberation Sans" w:hAnsi="Liberation Sans" w:eastAsia="Liberation Sans" w:cs="Liberation Sans"/>
            <w:color w:val="000000"/>
            <w:sz w:val="22"/>
            <w:u w:val="single"/>
          </w:rPr>
          <w:t xml:space="preserve">https://eur-lex.europa.eu/eli/dir/2023/959/oj</w:t>
        </w:r>
      </w:hyperlink>
      <w:r/>
      <w:r/>
    </w:p>
    <w:p w14:paraId="11AEC93B">
      <w:pPr>
        <w:pBdr>
          <w:top w:val="none" w:color="000000" w:sz="4" w:space="0"/>
          <w:left w:val="none" w:color="000000" w:sz="4" w:space="0"/>
          <w:bottom w:val="none" w:color="000000" w:sz="4" w:space="0"/>
          <w:right w:val="none" w:color="000000" w:sz="4" w:space="0"/>
        </w:pBdr>
        <w:spacing w:after="0" w:before="0" w:line="331" w:lineRule="auto"/>
        <w:ind w:right="0" w:firstLine="0" w:left="0"/>
        <w:rPr/>
      </w:pPr>
      <w:r>
        <w:rPr>
          <w:rFonts w:ascii="Liberation Sans" w:hAnsi="Liberation Sans" w:eastAsia="Liberation Sans" w:cs="Liberation Sans"/>
          <w:color w:val="1f1f1f"/>
          <w:sz w:val="22"/>
          <w:u w:val="none"/>
        </w:rPr>
        <w:t xml:space="preserve">[4] Avrupa Komisyonu. Proposal for a Regulation amending Regulation (EU) 2023/956 as regards the extension of its scope to downstream goods and anti-circumvention measures. COM(2025) 989 final, 17.12.2025. </w:t>
      </w:r>
      <w:hyperlink r:id="rId12" w:tooltip="https://eur-lex.europa.eu/legal-content/EN/TXT/?uri=celex:52025PC0989" w:history="1">
        <w:r>
          <w:rPr>
            <w:rStyle w:val="874"/>
            <w:rFonts w:ascii="Liberation Sans" w:hAnsi="Liberation Sans" w:eastAsia="Liberation Sans" w:cs="Liberation Sans"/>
            <w:color w:val="000000"/>
            <w:sz w:val="22"/>
            <w:u w:val="single"/>
          </w:rPr>
          <w:t xml:space="preserve">https://eur-lex.europa.eu/legal-content/EN/TXT/?uri=celex:52025PC0989</w:t>
        </w:r>
      </w:hyperlink>
      <w:r/>
      <w:r/>
    </w:p>
    <w:p w14:paraId="36A6A06D">
      <w:pPr>
        <w:pBdr>
          <w:top w:val="none" w:color="000000" w:sz="4" w:space="0"/>
          <w:left w:val="none" w:color="000000" w:sz="4" w:space="0"/>
          <w:bottom w:val="none" w:color="000000" w:sz="4" w:space="0"/>
          <w:right w:val="none" w:color="000000" w:sz="4" w:space="0"/>
        </w:pBdr>
        <w:spacing w:after="0" w:before="0" w:line="331" w:lineRule="auto"/>
        <w:ind w:right="0" w:firstLine="0" w:left="0"/>
        <w:rPr/>
      </w:pPr>
      <w:r>
        <w:rPr>
          <w:rFonts w:ascii="Liberation Sans" w:hAnsi="Liberation Sans" w:eastAsia="Liberation Sans" w:cs="Liberation Sans"/>
          <w:color w:val="1f1f1f"/>
          <w:sz w:val="22"/>
          <w:u w:val="none"/>
        </w:rPr>
        <w:t xml:space="preserve">[5] AB Konseyi. Council moves to strengthen the EU's carbon border adjustment mechanism. Basın bülteni, 12 Haziran 2026. </w:t>
      </w:r>
      <w:hyperlink r:id="rId13" w:tooltip="https://www.consilium.europa.eu/en/press/press-releases/2026/06/12/council-moves-to-strengthen-the-eu-s-carbon-border-adjustment-mechanism/" w:history="1">
        <w:r>
          <w:rPr>
            <w:rStyle w:val="874"/>
            <w:rFonts w:ascii="Liberation Sans" w:hAnsi="Liberation Sans" w:eastAsia="Liberation Sans" w:cs="Liberation Sans"/>
            <w:color w:val="000000"/>
            <w:sz w:val="22"/>
            <w:u w:val="single"/>
          </w:rPr>
          <w:t xml:space="preserve">https://www.consilium.europa.eu/en/press/press-releases/2026/06/12/council-moves-to-strengthen-the-eu-s-carbon-border-adjustment-mechanism/</w:t>
        </w:r>
      </w:hyperlink>
      <w:r/>
      <w:r/>
    </w:p>
    <w:p w14:paraId="685ABC9E">
      <w:pPr>
        <w:pBdr>
          <w:top w:val="none" w:color="000000" w:sz="4" w:space="0"/>
          <w:left w:val="none" w:color="000000" w:sz="4" w:space="0"/>
          <w:bottom w:val="none" w:color="000000" w:sz="4" w:space="0"/>
          <w:right w:val="none" w:color="000000" w:sz="4" w:space="0"/>
        </w:pBdr>
        <w:spacing w:after="0" w:before="0" w:line="331" w:lineRule="auto"/>
        <w:ind w:right="0" w:firstLine="0" w:left="0"/>
        <w:rPr/>
      </w:pPr>
      <w:r>
        <w:rPr>
          <w:rFonts w:ascii="Liberation Sans" w:hAnsi="Liberation Sans" w:eastAsia="Liberation Sans" w:cs="Liberation Sans"/>
          <w:color w:val="1f1f1f"/>
          <w:sz w:val="22"/>
          <w:u w:val="none"/>
        </w:rPr>
        <w:t xml:space="preserve">[6] Avrupa Parlamentosu, Yasama Gözlemevi. Procedure file 2025/0419(COD). Kabul edilen metin T10-0276/2026, 15 Eylül 2026. Erişim: 1 Ekim 2026. </w:t>
      </w:r>
      <w:hyperlink r:id="rId14" w:tooltip="https://oeil.europarl.europa.eu/oeil/en/procedure-file?reference=2025/0419(COD)" w:history="1">
        <w:r>
          <w:rPr>
            <w:rStyle w:val="874"/>
            <w:rFonts w:ascii="Liberation Sans" w:hAnsi="Liberation Sans" w:eastAsia="Liberation Sans" w:cs="Liberation Sans"/>
            <w:color w:val="000000"/>
            <w:sz w:val="22"/>
            <w:u w:val="single"/>
          </w:rPr>
          <w:t xml:space="preserve">https://oeil.europarl.europa.eu/oeil/en/procedure-file?reference=2025/0419(COD</w:t>
        </w:r>
      </w:hyperlink>
      <w:r/>
      <w:r/>
    </w:p>
    <w:p w14:paraId="30D607DC">
      <w:pPr>
        <w:pBdr>
          <w:top w:val="none" w:color="000000" w:sz="4" w:space="0"/>
          <w:left w:val="none" w:color="000000" w:sz="4" w:space="0"/>
          <w:bottom w:val="none" w:color="000000" w:sz="4" w:space="0"/>
          <w:right w:val="none" w:color="000000" w:sz="4" w:space="0"/>
        </w:pBdr>
        <w:spacing w:after="0" w:before="0" w:line="331" w:lineRule="auto"/>
        <w:ind w:right="0" w:firstLine="0" w:left="0"/>
        <w:rPr/>
      </w:pPr>
      <w:r>
        <w:rPr>
          <w:rFonts w:ascii="Liberation Sans" w:hAnsi="Liberation Sans" w:eastAsia="Liberation Sans" w:cs="Liberation Sans"/>
          <w:color w:val="1f1f1f"/>
          <w:sz w:val="22"/>
          <w:u w:val="none"/>
        </w:rPr>
        <w:t xml:space="preserve">[7] Avrupa Parlamentosu Araştırma Servisi (EPRS). Extension of CBAM scope to downstream goods and anti-circumvention measures. At a Glance, 7 Eylül 2026. </w:t>
      </w:r>
      <w:hyperlink r:id="rId15" w:tooltip="https://eprs.europarl.europa.eu/contents/publications/EPRS/2026/09/EPRS_ATA(2026)791461.html" w:history="1">
        <w:r>
          <w:rPr>
            <w:rStyle w:val="874"/>
            <w:rFonts w:ascii="Liberation Sans" w:hAnsi="Liberation Sans" w:eastAsia="Liberation Sans" w:cs="Liberation Sans"/>
            <w:color w:val="000000"/>
            <w:sz w:val="22"/>
            <w:u w:val="single"/>
          </w:rPr>
          <w:t xml:space="preserve">https://eprs.europarl.europa.eu/contents/publications/EPRS/2026/09/EPRS_ATA(2026)791461.html</w:t>
        </w:r>
      </w:hyperlink>
      <w:r/>
      <w:r/>
    </w:p>
    <w:p w14:paraId="21EC27F2">
      <w:pPr>
        <w:pBdr>
          <w:top w:val="none" w:color="000000" w:sz="4" w:space="0"/>
          <w:left w:val="none" w:color="000000" w:sz="4" w:space="0"/>
          <w:bottom w:val="none" w:color="000000" w:sz="4" w:space="0"/>
          <w:right w:val="none" w:color="000000" w:sz="4" w:space="0"/>
        </w:pBdr>
        <w:spacing w:after="0" w:before="0" w:line="331" w:lineRule="auto"/>
        <w:ind w:right="0" w:firstLine="0" w:left="0"/>
        <w:rPr/>
      </w:pPr>
      <w:r>
        <w:rPr>
          <w:rFonts w:ascii="Liberation Sans" w:hAnsi="Liberation Sans" w:eastAsia="Liberation Sans" w:cs="Liberation Sans"/>
          <w:color w:val="1f1f1f"/>
          <w:sz w:val="22"/>
          <w:u w:val="none"/>
        </w:rPr>
        <w:t xml:space="preserve">[8] Avrupa Komisyonu. EU ETS review. Basın bülteni IP/26/1596, 17 Temmuz 2026. </w:t>
      </w:r>
      <w:hyperlink r:id="rId16" w:tooltip="https://ec.europa.eu/commission/presscorner/api/files/document/print/en/ip_26_1596/IP_26_1596_EN.pdf" w:history="1">
        <w:r>
          <w:rPr>
            <w:rStyle w:val="874"/>
            <w:rFonts w:ascii="Liberation Sans" w:hAnsi="Liberation Sans" w:eastAsia="Liberation Sans" w:cs="Liberation Sans"/>
            <w:color w:val="000000"/>
            <w:sz w:val="22"/>
            <w:u w:val="single"/>
          </w:rPr>
          <w:t xml:space="preserve">https://ec.europa.eu/commission/presscorner/api/files/document/print/en/ip_26_1596/IP_26_1596_EN.pdf</w:t>
        </w:r>
      </w:hyperlink>
      <w:r/>
      <w:r/>
    </w:p>
    <w:p w14:paraId="0420C62A">
      <w:pPr>
        <w:pBdr>
          <w:top w:val="none" w:color="000000" w:sz="4" w:space="0"/>
          <w:left w:val="none" w:color="000000" w:sz="4" w:space="0"/>
          <w:bottom w:val="none" w:color="000000" w:sz="4" w:space="0"/>
          <w:right w:val="none" w:color="000000" w:sz="4" w:space="0"/>
        </w:pBdr>
        <w:spacing w:after="0" w:before="0" w:line="331" w:lineRule="auto"/>
        <w:ind w:right="0" w:firstLine="0" w:left="0"/>
        <w:rPr/>
      </w:pPr>
      <w:r>
        <w:rPr>
          <w:rFonts w:ascii="Liberation Sans" w:hAnsi="Liberation Sans" w:eastAsia="Liberation Sans" w:cs="Liberation Sans"/>
          <w:color w:val="1f1f1f"/>
          <w:sz w:val="22"/>
          <w:u w:val="none"/>
        </w:rPr>
        <w:t xml:space="preserve">[9] Green, M. D. ve Bee, J. (Latham &amp; Watkins). European Commission Publishes EU ETS Review, Proposing Significant Reforms. 30 Temmuz 2026. </w:t>
      </w:r>
      <w:hyperlink r:id="rId17" w:tooltip="https://www.globalelr.com/2026/07/european-commission-publishes-eu-ets-review-proposing-significant-reforms/" w:history="1">
        <w:r>
          <w:rPr>
            <w:rStyle w:val="874"/>
            <w:rFonts w:ascii="Liberation Sans" w:hAnsi="Liberation Sans" w:eastAsia="Liberation Sans" w:cs="Liberation Sans"/>
            <w:color w:val="000000"/>
            <w:sz w:val="22"/>
            <w:u w:val="single"/>
          </w:rPr>
          <w:t xml:space="preserve">https://www.globalelr.com/2026/07/european-commission-publishes-eu-ets-review-proposing-significant-reforms/</w:t>
        </w:r>
      </w:hyperlink>
      <w:r/>
      <w:r/>
    </w:p>
    <w:p w14:paraId="1DCFFA70">
      <w:pPr>
        <w:pBdr>
          <w:top w:val="none" w:color="000000" w:sz="4" w:space="0"/>
          <w:left w:val="none" w:color="000000" w:sz="4" w:space="0"/>
          <w:bottom w:val="none" w:color="000000" w:sz="4" w:space="0"/>
          <w:right w:val="none" w:color="000000" w:sz="4" w:space="0"/>
        </w:pBdr>
        <w:spacing w:after="0" w:before="0" w:line="331" w:lineRule="auto"/>
        <w:ind w:right="0" w:firstLine="0" w:left="0"/>
        <w:rPr/>
      </w:pPr>
      <w:r>
        <w:rPr>
          <w:rFonts w:ascii="Liberation Sans" w:hAnsi="Liberation Sans" w:eastAsia="Liberation Sans" w:cs="Liberation Sans"/>
          <w:color w:val="1f1f1f"/>
          <w:sz w:val="22"/>
          <w:u w:val="none"/>
        </w:rPr>
        <w:t xml:space="preserve">[10] Çevre, Şehircilik ve İklim Değişikliği Bakanlığı. Türkiye Emisyon Ticaret Sistemi Yönetmeliği. Resmî Gazete, 27.08.2026, Sayı 33353. Madde 29. </w:t>
      </w:r>
      <w:hyperlink r:id="rId18" w:tooltip="https://www.resmigazete.gov.tr/eskiler/2026/08/20260827.htm" w:history="1">
        <w:r>
          <w:rPr>
            <w:rStyle w:val="874"/>
            <w:rFonts w:ascii="Liberation Sans" w:hAnsi="Liberation Sans" w:eastAsia="Liberation Sans" w:cs="Liberation Sans"/>
            <w:color w:val="000000"/>
            <w:sz w:val="22"/>
            <w:u w:val="single"/>
          </w:rPr>
          <w:t xml:space="preserve">https://www.resmigazete.gov.tr/eskiler/2026/08/20260827.htm</w:t>
        </w:r>
      </w:hyperlink>
      <w:r/>
      <w:r/>
    </w:p>
    <w:p w14:paraId="5FA9C28C">
      <w:pPr>
        <w:pBdr>
          <w:top w:val="none" w:color="000000" w:sz="4" w:space="0"/>
          <w:left w:val="none" w:color="000000" w:sz="4" w:space="0"/>
          <w:bottom w:val="none" w:color="000000" w:sz="4" w:space="0"/>
          <w:right w:val="none" w:color="000000" w:sz="4" w:space="0"/>
        </w:pBdr>
        <w:spacing w:after="0" w:before="0" w:line="331" w:lineRule="auto"/>
        <w:ind w:right="0" w:firstLine="0" w:left="0"/>
        <w:rPr/>
      </w:pPr>
      <w:r>
        <w:rPr>
          <w:rFonts w:ascii="Liberation Sans" w:hAnsi="Liberation Sans" w:eastAsia="Liberation Sans" w:cs="Liberation Sans"/>
          <w:color w:val="1f1f1f"/>
          <w:sz w:val="22"/>
          <w:u w:val="none"/>
        </w:rPr>
        <w:t xml:space="preserve">[11] İklim Değişikliği Başkanlığı. TR ETS Pilot Uygulama Dönemine Yönelik Karbon Piyasası Kurulu Toplantı Kararlarına (KPK/2026/1) İlişkin Duyuru. 3 Eylül 2026. </w:t>
      </w:r>
      <w:hyperlink r:id="rId19" w:tooltip="https://iklim.gov.tr/tr-ets-pilot-uygulama-donemine-yonelik-karbon-piyasasi-kurulu-toplanti-kararlarina-kpk-2026-1-iliskin-duyuru-duyuru-45" w:history="1">
        <w:r>
          <w:rPr>
            <w:rStyle w:val="874"/>
            <w:rFonts w:ascii="Liberation Sans" w:hAnsi="Liberation Sans" w:eastAsia="Liberation Sans" w:cs="Liberation Sans"/>
            <w:color w:val="000000"/>
            <w:sz w:val="22"/>
            <w:u w:val="single"/>
          </w:rPr>
          <w:t xml:space="preserve">https://iklim.gov.tr/tr-ets-pilot-uygulama-donemine-yonelik-karbon-piyasasi-kurulu-toplanti-kararlarina-kpk-2026-1-iliskin-duyuru-duyuru-45</w:t>
        </w:r>
      </w:hyperlink>
      <w:r/>
      <w:r/>
    </w:p>
    <w:p>
      <w:pPr>
        <w:pBdr/>
        <w:spacing/>
        <w:ind/>
        <w:rPr/>
      </w:pPr>
      <w:r/>
      <w:r/>
    </w:p>
    <w:sectPr>
      <w:footnotePr/>
      <w:endnotePr/>
      <w:type w:val="nextPage"/>
      <w:pgSz w:h="16838" w:orient="portrait" w:w="11906"/>
      <w:pgMar w:top="1134" w:right="850" w:bottom="1134" w:left="1701" w:header="709" w:footer="709"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ans">
    <w:panose1 w:val="020B0604020202020204"/>
  </w:font>
  <w:font w:name="Wingdings">
    <w:panose1 w:val="05010000000000000000"/>
  </w:font>
  <w:font w:name="Courier New">
    <w:panose1 w:val="02070409020205020404"/>
  </w:font>
  <w:font w:name="Symbol">
    <w:panose1 w:val="05010000000000000000"/>
  </w:font>
  <w:font w:name="Arial">
    <w:panose1 w:val="020B0604020202020204"/>
  </w:font>
  <w:font w:name="Calibri">
    <w:panose1 w:val="020F050202020403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68BF63"/>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
    <w:nsid w:val="78E097F0"/>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GB"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03">
    <w:name w:val="Table Grid"/>
    <w:basedOn w:val="889"/>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4">
    <w:name w:val="Table Grid Light"/>
    <w:basedOn w:val="88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5">
    <w:name w:val="Plain Table 1"/>
    <w:basedOn w:val="88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6">
    <w:name w:val="Plain Table 2"/>
    <w:basedOn w:val="88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7">
    <w:name w:val="Plain Table 3"/>
    <w:basedOn w:val="88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8">
    <w:name w:val="Plain Table 4"/>
    <w:basedOn w:val="88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9">
    <w:name w:val="Plain Table 5"/>
    <w:basedOn w:val="88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0">
    <w:name w:val="Grid Table 1 Light"/>
    <w:basedOn w:val="88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1">
    <w:name w:val="Grid Table 1 Light - Accent 1"/>
    <w:basedOn w:val="88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2">
    <w:name w:val="Grid Table 1 Light - Accent 2"/>
    <w:basedOn w:val="88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3">
    <w:name w:val="Grid Table 1 Light - Accent 3"/>
    <w:basedOn w:val="88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4">
    <w:name w:val="Grid Table 1 Light - Accent 4"/>
    <w:basedOn w:val="88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5">
    <w:name w:val="Grid Table 1 Light - Accent 5"/>
    <w:basedOn w:val="88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6">
    <w:name w:val="Grid Table 1 Light - Accent 6"/>
    <w:basedOn w:val="88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7">
    <w:name w:val="Grid Table 2"/>
    <w:basedOn w:val="88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8">
    <w:name w:val="Grid Table 2 - Accent 1"/>
    <w:basedOn w:val="88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9">
    <w:name w:val="Grid Table 2 - Accent 2"/>
    <w:basedOn w:val="88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0">
    <w:name w:val="Grid Table 2 - Accent 3"/>
    <w:basedOn w:val="88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1">
    <w:name w:val="Grid Table 2 - Accent 4"/>
    <w:basedOn w:val="88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2">
    <w:name w:val="Grid Table 2 - Accent 5"/>
    <w:basedOn w:val="88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3">
    <w:name w:val="Grid Table 2 - Accent 6"/>
    <w:basedOn w:val="88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4">
    <w:name w:val="Grid Table 3"/>
    <w:basedOn w:val="88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5">
    <w:name w:val="Grid Table 3 - Accent 1"/>
    <w:basedOn w:val="88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6">
    <w:name w:val="Grid Table 3 - Accent 2"/>
    <w:basedOn w:val="88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7">
    <w:name w:val="Grid Table 3 - Accent 3"/>
    <w:basedOn w:val="88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8">
    <w:name w:val="Grid Table 3 - Accent 4"/>
    <w:basedOn w:val="88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9">
    <w:name w:val="Grid Table 3 - Accent 5"/>
    <w:basedOn w:val="88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0">
    <w:name w:val="Grid Table 3 - Accent 6"/>
    <w:basedOn w:val="88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1">
    <w:name w:val="Grid Table 4"/>
    <w:basedOn w:val="88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2">
    <w:name w:val="Grid Table 4 - Accent 1"/>
    <w:basedOn w:val="88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3">
    <w:name w:val="Grid Table 4 - Accent 2"/>
    <w:basedOn w:val="88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4">
    <w:name w:val="Grid Table 4 - Accent 3"/>
    <w:basedOn w:val="88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5">
    <w:name w:val="Grid Table 4 - Accent 4"/>
    <w:basedOn w:val="88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6">
    <w:name w:val="Grid Table 4 - Accent 5"/>
    <w:basedOn w:val="88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7">
    <w:name w:val="Grid Table 4 - Accent 6"/>
    <w:basedOn w:val="88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8">
    <w:name w:val="Grid Table 5 Dark"/>
    <w:basedOn w:val="88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9">
    <w:name w:val="Grid Table 5 Dark- Accent 1"/>
    <w:basedOn w:val="88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0">
    <w:name w:val="Grid Table 5 Dark - Accent 2"/>
    <w:basedOn w:val="88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1">
    <w:name w:val="Grid Table 5 Dark - Accent 3"/>
    <w:basedOn w:val="88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2">
    <w:name w:val="Grid Table 5 Dark- Accent 4"/>
    <w:basedOn w:val="88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3">
    <w:name w:val="Grid Table 5 Dark - Accent 5"/>
    <w:basedOn w:val="88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4">
    <w:name w:val="Grid Table 5 Dark - Accent 6"/>
    <w:basedOn w:val="88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5">
    <w:name w:val="Grid Table 6 Colorful"/>
    <w:basedOn w:val="88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46">
    <w:name w:val="Grid Table 6 Colorful - Accent 1"/>
    <w:basedOn w:val="88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47">
    <w:name w:val="Grid Table 6 Colorful - Accent 2"/>
    <w:basedOn w:val="88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48">
    <w:name w:val="Grid Table 6 Colorful - Accent 3"/>
    <w:basedOn w:val="88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49">
    <w:name w:val="Grid Table 6 Colorful - Accent 4"/>
    <w:basedOn w:val="88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50">
    <w:name w:val="Grid Table 6 Colorful - Accent 5"/>
    <w:basedOn w:val="88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51">
    <w:name w:val="Grid Table 6 Colorful - Accent 6"/>
    <w:basedOn w:val="88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52">
    <w:name w:val="Grid Table 7 Colorful"/>
    <w:basedOn w:val="88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3">
    <w:name w:val="Grid Table 7 Colorful - Accent 1"/>
    <w:basedOn w:val="88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4">
    <w:name w:val="Grid Table 7 Colorful - Accent 2"/>
    <w:basedOn w:val="88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5">
    <w:name w:val="Grid Table 7 Colorful - Accent 3"/>
    <w:basedOn w:val="88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name w:val="Grid Table 7 Colorful - Accent 4"/>
    <w:basedOn w:val="88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7">
    <w:name w:val="Grid Table 7 Colorful - Accent 5"/>
    <w:basedOn w:val="88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8">
    <w:name w:val="Grid Table 7 Colorful - Accent 6"/>
    <w:basedOn w:val="88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List Table 1 Light"/>
    <w:basedOn w:val="88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List Table 1 Light - Accent 1"/>
    <w:basedOn w:val="88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List Table 1 Light - Accent 2"/>
    <w:basedOn w:val="88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List Table 1 Light - Accent 3"/>
    <w:basedOn w:val="88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name w:val="List Table 1 Light - Accent 4"/>
    <w:basedOn w:val="88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List Table 1 Light - Accent 5"/>
    <w:basedOn w:val="88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List Table 1 Light - Accent 6"/>
    <w:basedOn w:val="88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List Table 2"/>
    <w:basedOn w:val="88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List Table 2 - Accent 1"/>
    <w:basedOn w:val="88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List Table 2 - Accent 2"/>
    <w:basedOn w:val="88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List Table 2 - Accent 3"/>
    <w:basedOn w:val="88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List Table 2 - Accent 4"/>
    <w:basedOn w:val="88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List Table 2 - Accent 5"/>
    <w:basedOn w:val="88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List Table 2 - Accent 6"/>
    <w:basedOn w:val="88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List Table 3"/>
    <w:basedOn w:val="88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List Table 3 - Accent 1"/>
    <w:basedOn w:val="88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List Table 3 - Accent 2"/>
    <w:basedOn w:val="88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List Table 3 - Accent 3"/>
    <w:basedOn w:val="88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List Table 3 - Accent 4"/>
    <w:basedOn w:val="88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List Table 3 - Accent 5"/>
    <w:basedOn w:val="88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List Table 3 - Accent 6"/>
    <w:basedOn w:val="88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List Table 4"/>
    <w:basedOn w:val="88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List Table 4 - Accent 1"/>
    <w:basedOn w:val="88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List Table 4 - Accent 2"/>
    <w:basedOn w:val="88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List Table 4 - Accent 3"/>
    <w:basedOn w:val="88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List Table 4 - Accent 4"/>
    <w:basedOn w:val="88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List Table 4 - Accent 5"/>
    <w:basedOn w:val="88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List Table 4 - Accent 6"/>
    <w:basedOn w:val="88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List Table 5 Dark"/>
    <w:basedOn w:val="88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88">
    <w:name w:val="List Table 5 Dark - Accent 1"/>
    <w:basedOn w:val="88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89">
    <w:name w:val="List Table 5 Dark - Accent 2"/>
    <w:basedOn w:val="88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0">
    <w:name w:val="List Table 5 Dark - Accent 3"/>
    <w:basedOn w:val="88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1">
    <w:name w:val="List Table 5 Dark - Accent 4"/>
    <w:basedOn w:val="88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2">
    <w:name w:val="List Table 5 Dark - Accent 5"/>
    <w:basedOn w:val="88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3">
    <w:name w:val="List Table 5 Dark - Accent 6"/>
    <w:basedOn w:val="88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4">
    <w:name w:val="List Table 6 Colorful"/>
    <w:basedOn w:val="88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List Table 6 Colorful - Accent 1"/>
    <w:basedOn w:val="88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List Table 6 Colorful - Accent 2"/>
    <w:basedOn w:val="88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List Table 6 Colorful - Accent 3"/>
    <w:basedOn w:val="88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List Table 6 Colorful - Accent 4"/>
    <w:basedOn w:val="88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List Table 6 Colorful - Accent 5"/>
    <w:basedOn w:val="88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List Table 6 Colorful - Accent 6"/>
    <w:basedOn w:val="88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List Table 7 Colorful"/>
    <w:basedOn w:val="88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02">
    <w:name w:val="List Table 7 Colorful - Accent 1"/>
    <w:basedOn w:val="88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803">
    <w:name w:val="List Table 7 Colorful - Accent 2"/>
    <w:basedOn w:val="88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804">
    <w:name w:val="List Table 7 Colorful - Accent 3"/>
    <w:basedOn w:val="88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805">
    <w:name w:val="List Table 7 Colorful - Accent 4"/>
    <w:basedOn w:val="88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806">
    <w:name w:val="List Table 7 Colorful - Accent 5"/>
    <w:basedOn w:val="88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807">
    <w:name w:val="List Table 7 Colorful - Accent 6"/>
    <w:basedOn w:val="88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808">
    <w:name w:val="Lined - Accent"/>
    <w:basedOn w:val="88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Lined - Accent 1"/>
    <w:basedOn w:val="88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Lined - Accent 2"/>
    <w:basedOn w:val="88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Lined - Accent 3"/>
    <w:basedOn w:val="88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Lined - Accent 4"/>
    <w:basedOn w:val="88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Lined - Accent 5"/>
    <w:basedOn w:val="88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Lined - Accent 6"/>
    <w:basedOn w:val="88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Bordered &amp; Lined - Accent"/>
    <w:basedOn w:val="88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Bordered &amp; Lined - Accent 1"/>
    <w:basedOn w:val="88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Bordered &amp; Lined - Accent 2"/>
    <w:basedOn w:val="88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Bordered &amp; Lined - Accent 3"/>
    <w:basedOn w:val="88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Bordered &amp; Lined - Accent 4"/>
    <w:basedOn w:val="88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Bordered &amp; Lined - Accent 5"/>
    <w:basedOn w:val="88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Bordered &amp; Lined - Accent 6"/>
    <w:basedOn w:val="88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Bordered"/>
    <w:basedOn w:val="88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Bordered - Accent 1"/>
    <w:basedOn w:val="88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Bordered - Accent 2"/>
    <w:basedOn w:val="88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Bordered - Accent 3"/>
    <w:basedOn w:val="88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Bordered - Accent 4"/>
    <w:basedOn w:val="88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Bordered - Accent 5"/>
    <w:basedOn w:val="88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Bordered - Accent 6"/>
    <w:basedOn w:val="88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29">
    <w:name w:val="Heading 1"/>
    <w:basedOn w:val="888"/>
    <w:next w:val="888"/>
    <w:link w:val="839"/>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830">
    <w:name w:val="Heading 2"/>
    <w:basedOn w:val="888"/>
    <w:next w:val="888"/>
    <w:link w:val="840"/>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831">
    <w:name w:val="Heading 3"/>
    <w:basedOn w:val="888"/>
    <w:next w:val="888"/>
    <w:link w:val="841"/>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832">
    <w:name w:val="Heading 4"/>
    <w:basedOn w:val="888"/>
    <w:next w:val="888"/>
    <w:link w:val="842"/>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833">
    <w:name w:val="Heading 5"/>
    <w:basedOn w:val="888"/>
    <w:next w:val="888"/>
    <w:link w:val="84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834">
    <w:name w:val="Heading 6"/>
    <w:basedOn w:val="888"/>
    <w:next w:val="888"/>
    <w:link w:val="84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835">
    <w:name w:val="Heading 7"/>
    <w:basedOn w:val="888"/>
    <w:next w:val="888"/>
    <w:link w:val="84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836">
    <w:name w:val="Heading 8"/>
    <w:basedOn w:val="888"/>
    <w:next w:val="888"/>
    <w:link w:val="84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837">
    <w:name w:val="Heading 9"/>
    <w:basedOn w:val="888"/>
    <w:next w:val="888"/>
    <w:link w:val="84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838" w:default="1">
    <w:name w:val="Default Paragraph Font"/>
    <w:uiPriority w:val="1"/>
    <w:semiHidden/>
    <w:unhideWhenUsed/>
    <w:pPr>
      <w:pBdr/>
      <w:spacing/>
      <w:ind/>
    </w:pPr>
  </w:style>
  <w:style w:type="character" w:styleId="839">
    <w:name w:val="Heading 1 Char"/>
    <w:basedOn w:val="838"/>
    <w:link w:val="829"/>
    <w:uiPriority w:val="9"/>
    <w:pPr>
      <w:pBdr/>
      <w:spacing/>
      <w:ind/>
    </w:pPr>
    <w:rPr>
      <w:rFonts w:ascii="Arial" w:hAnsi="Arial" w:eastAsia="Arial" w:cs="Arial"/>
      <w:color w:val="0f4761" w:themeColor="accent1" w:themeShade="BF"/>
      <w:sz w:val="40"/>
      <w:szCs w:val="40"/>
    </w:rPr>
  </w:style>
  <w:style w:type="character" w:styleId="840">
    <w:name w:val="Heading 2 Char"/>
    <w:basedOn w:val="838"/>
    <w:link w:val="830"/>
    <w:uiPriority w:val="9"/>
    <w:pPr>
      <w:pBdr/>
      <w:spacing/>
      <w:ind/>
    </w:pPr>
    <w:rPr>
      <w:rFonts w:ascii="Arial" w:hAnsi="Arial" w:eastAsia="Arial" w:cs="Arial"/>
      <w:color w:val="0f4761" w:themeColor="accent1" w:themeShade="BF"/>
      <w:sz w:val="32"/>
      <w:szCs w:val="32"/>
    </w:rPr>
  </w:style>
  <w:style w:type="character" w:styleId="841">
    <w:name w:val="Heading 3 Char"/>
    <w:basedOn w:val="838"/>
    <w:link w:val="831"/>
    <w:uiPriority w:val="9"/>
    <w:pPr>
      <w:pBdr/>
      <w:spacing/>
      <w:ind/>
    </w:pPr>
    <w:rPr>
      <w:rFonts w:ascii="Arial" w:hAnsi="Arial" w:eastAsia="Arial" w:cs="Arial"/>
      <w:color w:val="0f4761" w:themeColor="accent1" w:themeShade="BF"/>
      <w:sz w:val="28"/>
      <w:szCs w:val="28"/>
    </w:rPr>
  </w:style>
  <w:style w:type="character" w:styleId="842">
    <w:name w:val="Heading 4 Char"/>
    <w:basedOn w:val="838"/>
    <w:link w:val="832"/>
    <w:uiPriority w:val="9"/>
    <w:pPr>
      <w:pBdr/>
      <w:spacing/>
      <w:ind/>
    </w:pPr>
    <w:rPr>
      <w:rFonts w:ascii="Arial" w:hAnsi="Arial" w:eastAsia="Arial" w:cs="Arial"/>
      <w:i/>
      <w:iCs/>
      <w:color w:val="0f4761" w:themeColor="accent1" w:themeShade="BF"/>
    </w:rPr>
  </w:style>
  <w:style w:type="character" w:styleId="843">
    <w:name w:val="Heading 5 Char"/>
    <w:basedOn w:val="838"/>
    <w:link w:val="833"/>
    <w:uiPriority w:val="9"/>
    <w:pPr>
      <w:pBdr/>
      <w:spacing/>
      <w:ind/>
    </w:pPr>
    <w:rPr>
      <w:rFonts w:ascii="Arial" w:hAnsi="Arial" w:eastAsia="Arial" w:cs="Arial"/>
      <w:color w:val="0f4761" w:themeColor="accent1" w:themeShade="BF"/>
    </w:rPr>
  </w:style>
  <w:style w:type="character" w:styleId="844">
    <w:name w:val="Heading 6 Char"/>
    <w:basedOn w:val="838"/>
    <w:link w:val="834"/>
    <w:uiPriority w:val="9"/>
    <w:pPr>
      <w:pBdr/>
      <w:spacing/>
      <w:ind/>
    </w:pPr>
    <w:rPr>
      <w:rFonts w:ascii="Arial" w:hAnsi="Arial" w:eastAsia="Arial" w:cs="Arial"/>
      <w:i/>
      <w:iCs/>
      <w:color w:val="595959" w:themeColor="text1" w:themeTint="A6"/>
    </w:rPr>
  </w:style>
  <w:style w:type="character" w:styleId="845">
    <w:name w:val="Heading 7 Char"/>
    <w:basedOn w:val="838"/>
    <w:link w:val="835"/>
    <w:uiPriority w:val="9"/>
    <w:pPr>
      <w:pBdr/>
      <w:spacing/>
      <w:ind/>
    </w:pPr>
    <w:rPr>
      <w:rFonts w:ascii="Arial" w:hAnsi="Arial" w:eastAsia="Arial" w:cs="Arial"/>
      <w:color w:val="595959" w:themeColor="text1" w:themeTint="A6"/>
    </w:rPr>
  </w:style>
  <w:style w:type="character" w:styleId="846">
    <w:name w:val="Heading 8 Char"/>
    <w:basedOn w:val="838"/>
    <w:link w:val="836"/>
    <w:uiPriority w:val="9"/>
    <w:pPr>
      <w:pBdr/>
      <w:spacing/>
      <w:ind/>
    </w:pPr>
    <w:rPr>
      <w:rFonts w:ascii="Arial" w:hAnsi="Arial" w:eastAsia="Arial" w:cs="Arial"/>
      <w:i/>
      <w:iCs/>
      <w:color w:val="272727" w:themeColor="text1" w:themeTint="D8"/>
    </w:rPr>
  </w:style>
  <w:style w:type="character" w:styleId="847">
    <w:name w:val="Heading 9 Char"/>
    <w:basedOn w:val="838"/>
    <w:link w:val="837"/>
    <w:uiPriority w:val="9"/>
    <w:pPr>
      <w:pBdr/>
      <w:spacing/>
      <w:ind/>
    </w:pPr>
    <w:rPr>
      <w:rFonts w:ascii="Arial" w:hAnsi="Arial" w:eastAsia="Arial" w:cs="Arial"/>
      <w:i/>
      <w:iCs/>
      <w:color w:val="272727" w:themeColor="text1" w:themeTint="D8"/>
    </w:rPr>
  </w:style>
  <w:style w:type="paragraph" w:styleId="848">
    <w:name w:val="Title"/>
    <w:basedOn w:val="888"/>
    <w:next w:val="888"/>
    <w:link w:val="849"/>
    <w:uiPriority w:val="10"/>
    <w:qFormat/>
    <w:pPr>
      <w:pBdr/>
      <w:spacing w:after="80" w:line="240" w:lineRule="auto"/>
      <w:ind/>
      <w:contextualSpacing w:val="true"/>
    </w:pPr>
    <w:rPr>
      <w:rFonts w:ascii="Arial" w:hAnsi="Arial" w:eastAsia="Arial" w:cs="Arial"/>
      <w:spacing w:val="-10"/>
      <w:sz w:val="56"/>
      <w:szCs w:val="56"/>
    </w:rPr>
  </w:style>
  <w:style w:type="character" w:styleId="849">
    <w:name w:val="Title Char"/>
    <w:basedOn w:val="838"/>
    <w:link w:val="848"/>
    <w:uiPriority w:val="10"/>
    <w:pPr>
      <w:pBdr/>
      <w:spacing/>
      <w:ind/>
    </w:pPr>
    <w:rPr>
      <w:rFonts w:ascii="Arial" w:hAnsi="Arial" w:eastAsia="Arial" w:cs="Arial"/>
      <w:spacing w:val="-10"/>
      <w:sz w:val="56"/>
      <w:szCs w:val="56"/>
    </w:rPr>
  </w:style>
  <w:style w:type="paragraph" w:styleId="850">
    <w:name w:val="Subtitle"/>
    <w:basedOn w:val="888"/>
    <w:next w:val="888"/>
    <w:link w:val="851"/>
    <w:uiPriority w:val="11"/>
    <w:qFormat/>
    <w:pPr>
      <w:numPr>
        <w:ilvl w:val="1"/>
      </w:numPr>
      <w:pBdr/>
      <w:spacing/>
      <w:ind/>
    </w:pPr>
    <w:rPr>
      <w:color w:val="595959" w:themeColor="text1" w:themeTint="A6"/>
      <w:spacing w:val="15"/>
      <w:sz w:val="28"/>
      <w:szCs w:val="28"/>
    </w:rPr>
  </w:style>
  <w:style w:type="character" w:styleId="851">
    <w:name w:val="Subtitle Char"/>
    <w:basedOn w:val="838"/>
    <w:link w:val="850"/>
    <w:uiPriority w:val="11"/>
    <w:pPr>
      <w:pBdr/>
      <w:spacing/>
      <w:ind/>
    </w:pPr>
    <w:rPr>
      <w:color w:val="595959" w:themeColor="text1" w:themeTint="A6"/>
      <w:spacing w:val="15"/>
      <w:sz w:val="28"/>
      <w:szCs w:val="28"/>
    </w:rPr>
  </w:style>
  <w:style w:type="paragraph" w:styleId="852">
    <w:name w:val="Quote"/>
    <w:basedOn w:val="888"/>
    <w:next w:val="888"/>
    <w:link w:val="853"/>
    <w:uiPriority w:val="29"/>
    <w:qFormat/>
    <w:pPr>
      <w:pBdr/>
      <w:spacing w:before="160"/>
      <w:ind/>
      <w:jc w:val="center"/>
    </w:pPr>
    <w:rPr>
      <w:i/>
      <w:iCs/>
      <w:color w:val="404040" w:themeColor="text1" w:themeTint="BF"/>
    </w:rPr>
  </w:style>
  <w:style w:type="character" w:styleId="853">
    <w:name w:val="Quote Char"/>
    <w:basedOn w:val="838"/>
    <w:link w:val="852"/>
    <w:uiPriority w:val="29"/>
    <w:pPr>
      <w:pBdr/>
      <w:spacing/>
      <w:ind/>
    </w:pPr>
    <w:rPr>
      <w:i/>
      <w:iCs/>
      <w:color w:val="404040" w:themeColor="text1" w:themeTint="BF"/>
    </w:rPr>
  </w:style>
  <w:style w:type="character" w:styleId="854">
    <w:name w:val="Intense Emphasis"/>
    <w:basedOn w:val="838"/>
    <w:uiPriority w:val="21"/>
    <w:qFormat/>
    <w:pPr>
      <w:pBdr/>
      <w:spacing/>
      <w:ind/>
    </w:pPr>
    <w:rPr>
      <w:i/>
      <w:iCs/>
      <w:color w:val="0f4761" w:themeColor="accent1" w:themeShade="BF"/>
    </w:rPr>
  </w:style>
  <w:style w:type="paragraph" w:styleId="855">
    <w:name w:val="Intense Quote"/>
    <w:basedOn w:val="888"/>
    <w:next w:val="888"/>
    <w:link w:val="85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856">
    <w:name w:val="Intense Quote Char"/>
    <w:basedOn w:val="838"/>
    <w:link w:val="855"/>
    <w:uiPriority w:val="30"/>
    <w:pPr>
      <w:pBdr/>
      <w:spacing/>
      <w:ind/>
    </w:pPr>
    <w:rPr>
      <w:i/>
      <w:iCs/>
      <w:color w:val="0f4761" w:themeColor="accent1" w:themeShade="BF"/>
    </w:rPr>
  </w:style>
  <w:style w:type="character" w:styleId="857">
    <w:name w:val="Intense Reference"/>
    <w:basedOn w:val="838"/>
    <w:uiPriority w:val="32"/>
    <w:qFormat/>
    <w:pPr>
      <w:pBdr/>
      <w:spacing/>
      <w:ind/>
    </w:pPr>
    <w:rPr>
      <w:b/>
      <w:bCs/>
      <w:smallCaps/>
      <w:color w:val="0f4761" w:themeColor="accent1" w:themeShade="BF"/>
      <w:spacing w:val="5"/>
    </w:rPr>
  </w:style>
  <w:style w:type="character" w:styleId="858">
    <w:name w:val="Subtle Emphasis"/>
    <w:basedOn w:val="838"/>
    <w:uiPriority w:val="19"/>
    <w:qFormat/>
    <w:pPr>
      <w:pBdr/>
      <w:spacing/>
      <w:ind/>
    </w:pPr>
    <w:rPr>
      <w:i/>
      <w:iCs/>
      <w:color w:val="404040" w:themeColor="text1" w:themeTint="BF"/>
    </w:rPr>
  </w:style>
  <w:style w:type="character" w:styleId="859">
    <w:name w:val="Emphasis"/>
    <w:basedOn w:val="838"/>
    <w:uiPriority w:val="20"/>
    <w:qFormat/>
    <w:pPr>
      <w:pBdr/>
      <w:spacing/>
      <w:ind/>
    </w:pPr>
    <w:rPr>
      <w:i/>
      <w:iCs/>
    </w:rPr>
  </w:style>
  <w:style w:type="character" w:styleId="860">
    <w:name w:val="Strong"/>
    <w:basedOn w:val="838"/>
    <w:uiPriority w:val="22"/>
    <w:qFormat/>
    <w:pPr>
      <w:pBdr/>
      <w:spacing/>
      <w:ind/>
    </w:pPr>
    <w:rPr>
      <w:b/>
      <w:bCs/>
    </w:rPr>
  </w:style>
  <w:style w:type="character" w:styleId="861">
    <w:name w:val="Subtle Reference"/>
    <w:basedOn w:val="838"/>
    <w:uiPriority w:val="31"/>
    <w:qFormat/>
    <w:pPr>
      <w:pBdr/>
      <w:spacing/>
      <w:ind/>
    </w:pPr>
    <w:rPr>
      <w:smallCaps/>
      <w:color w:val="5a5a5a" w:themeColor="text1" w:themeTint="A5"/>
    </w:rPr>
  </w:style>
  <w:style w:type="character" w:styleId="862">
    <w:name w:val="Book Title"/>
    <w:basedOn w:val="838"/>
    <w:uiPriority w:val="33"/>
    <w:qFormat/>
    <w:pPr>
      <w:pBdr/>
      <w:spacing/>
      <w:ind/>
    </w:pPr>
    <w:rPr>
      <w:b/>
      <w:bCs/>
      <w:i/>
      <w:iCs/>
      <w:spacing w:val="5"/>
    </w:rPr>
  </w:style>
  <w:style w:type="paragraph" w:styleId="863">
    <w:name w:val="Header"/>
    <w:basedOn w:val="888"/>
    <w:link w:val="864"/>
    <w:uiPriority w:val="99"/>
    <w:unhideWhenUsed/>
    <w:pPr>
      <w:pBdr/>
      <w:tabs>
        <w:tab w:val="center" w:leader="none" w:pos="4844"/>
        <w:tab w:val="right" w:leader="none" w:pos="9689"/>
      </w:tabs>
      <w:spacing w:after="0" w:line="240" w:lineRule="auto"/>
      <w:ind/>
    </w:pPr>
  </w:style>
  <w:style w:type="character" w:styleId="864">
    <w:name w:val="Header Char"/>
    <w:basedOn w:val="838"/>
    <w:link w:val="863"/>
    <w:uiPriority w:val="99"/>
    <w:pPr>
      <w:pBdr/>
      <w:spacing/>
      <w:ind/>
    </w:pPr>
  </w:style>
  <w:style w:type="paragraph" w:styleId="865">
    <w:name w:val="Footer"/>
    <w:basedOn w:val="888"/>
    <w:link w:val="866"/>
    <w:uiPriority w:val="99"/>
    <w:unhideWhenUsed/>
    <w:pPr>
      <w:pBdr/>
      <w:tabs>
        <w:tab w:val="center" w:leader="none" w:pos="4844"/>
        <w:tab w:val="right" w:leader="none" w:pos="9689"/>
      </w:tabs>
      <w:spacing w:after="0" w:line="240" w:lineRule="auto"/>
      <w:ind/>
    </w:pPr>
  </w:style>
  <w:style w:type="character" w:styleId="866">
    <w:name w:val="Footer Char"/>
    <w:basedOn w:val="838"/>
    <w:link w:val="865"/>
    <w:uiPriority w:val="99"/>
    <w:pPr>
      <w:pBdr/>
      <w:spacing/>
      <w:ind/>
    </w:pPr>
  </w:style>
  <w:style w:type="paragraph" w:styleId="867">
    <w:name w:val="Caption"/>
    <w:basedOn w:val="888"/>
    <w:next w:val="888"/>
    <w:uiPriority w:val="35"/>
    <w:unhideWhenUsed/>
    <w:qFormat/>
    <w:pPr>
      <w:pBdr/>
      <w:spacing w:after="200" w:line="240" w:lineRule="auto"/>
      <w:ind/>
    </w:pPr>
    <w:rPr>
      <w:i/>
      <w:iCs/>
      <w:color w:val="0e2841" w:themeColor="text2"/>
      <w:sz w:val="18"/>
      <w:szCs w:val="18"/>
    </w:rPr>
  </w:style>
  <w:style w:type="paragraph" w:styleId="868">
    <w:name w:val="footnote text"/>
    <w:basedOn w:val="888"/>
    <w:link w:val="869"/>
    <w:uiPriority w:val="99"/>
    <w:semiHidden/>
    <w:unhideWhenUsed/>
    <w:pPr>
      <w:pBdr/>
      <w:spacing w:after="0" w:line="240" w:lineRule="auto"/>
      <w:ind/>
    </w:pPr>
    <w:rPr>
      <w:sz w:val="20"/>
      <w:szCs w:val="20"/>
    </w:rPr>
  </w:style>
  <w:style w:type="character" w:styleId="869">
    <w:name w:val="Footnote Text Char"/>
    <w:basedOn w:val="838"/>
    <w:link w:val="868"/>
    <w:uiPriority w:val="99"/>
    <w:semiHidden/>
    <w:pPr>
      <w:pBdr/>
      <w:spacing/>
      <w:ind/>
    </w:pPr>
    <w:rPr>
      <w:sz w:val="20"/>
      <w:szCs w:val="20"/>
    </w:rPr>
  </w:style>
  <w:style w:type="character" w:styleId="870">
    <w:name w:val="footnote reference"/>
    <w:basedOn w:val="838"/>
    <w:uiPriority w:val="99"/>
    <w:semiHidden/>
    <w:unhideWhenUsed/>
    <w:pPr>
      <w:pBdr/>
      <w:spacing/>
      <w:ind/>
    </w:pPr>
    <w:rPr>
      <w:vertAlign w:val="superscript"/>
    </w:rPr>
  </w:style>
  <w:style w:type="paragraph" w:styleId="871">
    <w:name w:val="endnote text"/>
    <w:basedOn w:val="888"/>
    <w:link w:val="872"/>
    <w:uiPriority w:val="99"/>
    <w:semiHidden/>
    <w:unhideWhenUsed/>
    <w:pPr>
      <w:pBdr/>
      <w:spacing w:after="0" w:line="240" w:lineRule="auto"/>
      <w:ind/>
    </w:pPr>
    <w:rPr>
      <w:sz w:val="20"/>
      <w:szCs w:val="20"/>
    </w:rPr>
  </w:style>
  <w:style w:type="character" w:styleId="872">
    <w:name w:val="Endnote Text Char"/>
    <w:basedOn w:val="838"/>
    <w:link w:val="871"/>
    <w:uiPriority w:val="99"/>
    <w:semiHidden/>
    <w:pPr>
      <w:pBdr/>
      <w:spacing/>
      <w:ind/>
    </w:pPr>
    <w:rPr>
      <w:sz w:val="20"/>
      <w:szCs w:val="20"/>
    </w:rPr>
  </w:style>
  <w:style w:type="character" w:styleId="873">
    <w:name w:val="endnote reference"/>
    <w:basedOn w:val="838"/>
    <w:uiPriority w:val="99"/>
    <w:semiHidden/>
    <w:unhideWhenUsed/>
    <w:pPr>
      <w:pBdr/>
      <w:spacing/>
      <w:ind/>
    </w:pPr>
    <w:rPr>
      <w:vertAlign w:val="superscript"/>
    </w:rPr>
  </w:style>
  <w:style w:type="character" w:styleId="874">
    <w:name w:val="Hyperlink"/>
    <w:basedOn w:val="838"/>
    <w:uiPriority w:val="99"/>
    <w:unhideWhenUsed/>
    <w:pPr>
      <w:pBdr/>
      <w:spacing/>
      <w:ind/>
    </w:pPr>
    <w:rPr>
      <w:color w:val="0563c1" w:themeColor="hyperlink"/>
      <w:u w:val="single"/>
    </w:rPr>
  </w:style>
  <w:style w:type="character" w:styleId="875">
    <w:name w:val="FollowedHyperlink"/>
    <w:basedOn w:val="838"/>
    <w:uiPriority w:val="99"/>
    <w:semiHidden/>
    <w:unhideWhenUsed/>
    <w:pPr>
      <w:pBdr/>
      <w:spacing/>
      <w:ind/>
    </w:pPr>
    <w:rPr>
      <w:color w:val="954f72" w:themeColor="followedHyperlink"/>
      <w:u w:val="single"/>
    </w:rPr>
  </w:style>
  <w:style w:type="paragraph" w:styleId="876">
    <w:name w:val="toc 1"/>
    <w:basedOn w:val="888"/>
    <w:next w:val="888"/>
    <w:uiPriority w:val="39"/>
    <w:unhideWhenUsed/>
    <w:pPr>
      <w:pBdr/>
      <w:spacing w:after="100"/>
      <w:ind/>
    </w:pPr>
  </w:style>
  <w:style w:type="paragraph" w:styleId="877">
    <w:name w:val="toc 2"/>
    <w:basedOn w:val="888"/>
    <w:next w:val="888"/>
    <w:uiPriority w:val="39"/>
    <w:unhideWhenUsed/>
    <w:pPr>
      <w:pBdr/>
      <w:spacing w:after="100"/>
      <w:ind w:left="220"/>
    </w:pPr>
  </w:style>
  <w:style w:type="paragraph" w:styleId="878">
    <w:name w:val="toc 3"/>
    <w:basedOn w:val="888"/>
    <w:next w:val="888"/>
    <w:uiPriority w:val="39"/>
    <w:unhideWhenUsed/>
    <w:pPr>
      <w:pBdr/>
      <w:spacing w:after="100"/>
      <w:ind w:left="440"/>
    </w:pPr>
  </w:style>
  <w:style w:type="paragraph" w:styleId="879">
    <w:name w:val="toc 4"/>
    <w:basedOn w:val="888"/>
    <w:next w:val="888"/>
    <w:uiPriority w:val="39"/>
    <w:unhideWhenUsed/>
    <w:pPr>
      <w:pBdr/>
      <w:spacing w:after="100"/>
      <w:ind w:left="660"/>
    </w:pPr>
  </w:style>
  <w:style w:type="paragraph" w:styleId="880">
    <w:name w:val="toc 5"/>
    <w:basedOn w:val="888"/>
    <w:next w:val="888"/>
    <w:uiPriority w:val="39"/>
    <w:unhideWhenUsed/>
    <w:pPr>
      <w:pBdr/>
      <w:spacing w:after="100"/>
      <w:ind w:left="880"/>
    </w:pPr>
  </w:style>
  <w:style w:type="paragraph" w:styleId="881">
    <w:name w:val="toc 6"/>
    <w:basedOn w:val="888"/>
    <w:next w:val="888"/>
    <w:uiPriority w:val="39"/>
    <w:unhideWhenUsed/>
    <w:pPr>
      <w:pBdr/>
      <w:spacing w:after="100"/>
      <w:ind w:left="1100"/>
    </w:pPr>
  </w:style>
  <w:style w:type="paragraph" w:styleId="882">
    <w:name w:val="toc 7"/>
    <w:basedOn w:val="888"/>
    <w:next w:val="888"/>
    <w:uiPriority w:val="39"/>
    <w:unhideWhenUsed/>
    <w:pPr>
      <w:pBdr/>
      <w:spacing w:after="100"/>
      <w:ind w:left="1320"/>
    </w:pPr>
  </w:style>
  <w:style w:type="paragraph" w:styleId="883">
    <w:name w:val="toc 8"/>
    <w:basedOn w:val="888"/>
    <w:next w:val="888"/>
    <w:uiPriority w:val="39"/>
    <w:unhideWhenUsed/>
    <w:pPr>
      <w:pBdr/>
      <w:spacing w:after="100"/>
      <w:ind w:left="1540"/>
    </w:pPr>
  </w:style>
  <w:style w:type="paragraph" w:styleId="884">
    <w:name w:val="toc 9"/>
    <w:basedOn w:val="888"/>
    <w:next w:val="888"/>
    <w:uiPriority w:val="39"/>
    <w:unhideWhenUsed/>
    <w:pPr>
      <w:pBdr/>
      <w:spacing w:after="100"/>
      <w:ind w:left="1760"/>
    </w:pPr>
  </w:style>
  <w:style w:type="character" w:styleId="885">
    <w:name w:val="Placeholder Text"/>
    <w:basedOn w:val="838"/>
    <w:uiPriority w:val="99"/>
    <w:semiHidden/>
    <w:pPr>
      <w:pBdr/>
      <w:spacing/>
      <w:ind/>
    </w:pPr>
    <w:rPr>
      <w:color w:val="666666"/>
    </w:rPr>
  </w:style>
  <w:style w:type="paragraph" w:styleId="886">
    <w:name w:val="TOC Heading"/>
    <w:uiPriority w:val="39"/>
    <w:unhideWhenUsed/>
    <w:pPr>
      <w:pBdr/>
      <w:spacing/>
      <w:ind/>
    </w:pPr>
  </w:style>
  <w:style w:type="paragraph" w:styleId="887">
    <w:name w:val="table of figures"/>
    <w:basedOn w:val="888"/>
    <w:next w:val="888"/>
    <w:uiPriority w:val="99"/>
    <w:unhideWhenUsed/>
    <w:pPr>
      <w:pBdr/>
      <w:spacing w:after="0" w:afterAutospacing="0"/>
      <w:ind/>
    </w:pPr>
  </w:style>
  <w:style w:type="paragraph" w:styleId="888" w:default="1">
    <w:name w:val="Normal"/>
    <w:qFormat/>
    <w:pPr>
      <w:pBdr/>
      <w:spacing/>
      <w:ind/>
    </w:pPr>
  </w:style>
  <w:style w:type="table" w:styleId="88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90" w:default="1">
    <w:name w:val="No List"/>
    <w:uiPriority w:val="99"/>
    <w:semiHidden/>
    <w:unhideWhenUsed/>
    <w:pPr>
      <w:pBdr/>
      <w:spacing/>
      <w:ind/>
    </w:pPr>
  </w:style>
  <w:style w:type="paragraph" w:styleId="891">
    <w:name w:val="No Spacing"/>
    <w:basedOn w:val="888"/>
    <w:uiPriority w:val="1"/>
    <w:qFormat/>
    <w:pPr>
      <w:pBdr/>
      <w:spacing w:after="0" w:line="240" w:lineRule="auto"/>
      <w:ind/>
    </w:pPr>
  </w:style>
  <w:style w:type="paragraph" w:styleId="892">
    <w:name w:val="List Paragraph"/>
    <w:basedOn w:val="888"/>
    <w:uiPriority w:val="34"/>
    <w:qFormat/>
    <w:pPr>
      <w:pBdr/>
      <w:spacing/>
      <w:ind w:left="720"/>
      <w:contextualSpacing w:val="true"/>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yperlink" Target="https://eur-lex.europa.eu/eli/reg/2025/2083/oj" TargetMode="External"/><Relationship Id="rId10" Type="http://schemas.openxmlformats.org/officeDocument/2006/relationships/hyperlink" Target="https://taxation-customs.ec.europa.eu/carbon-border-adjustment-mechanism/price-cbam-certificates_en" TargetMode="External"/><Relationship Id="rId11" Type="http://schemas.openxmlformats.org/officeDocument/2006/relationships/hyperlink" Target="https://eur-lex.europa.eu/eli/dir/2023/959/oj" TargetMode="External"/><Relationship Id="rId12" Type="http://schemas.openxmlformats.org/officeDocument/2006/relationships/hyperlink" Target="https://eur-lex.europa.eu/legal-content/EN/TXT/?uri=celex:52025PC0989" TargetMode="External"/><Relationship Id="rId13" Type="http://schemas.openxmlformats.org/officeDocument/2006/relationships/hyperlink" Target="https://www.consilium.europa.eu/en/press/press-releases/2026/06/12/council-moves-to-strengthen-the-eu-s-carbon-border-adjustment-mechanism/" TargetMode="External"/><Relationship Id="rId14" Type="http://schemas.openxmlformats.org/officeDocument/2006/relationships/hyperlink" Target="https://oeil.europarl.europa.eu/oeil/en/procedure-file?reference=2025/0419(COD)" TargetMode="External"/><Relationship Id="rId15" Type="http://schemas.openxmlformats.org/officeDocument/2006/relationships/hyperlink" Target="https://eprs.europarl.europa.eu/contents/publications/EPRS/2026/09/EPRS_ATA(2026)791461.html" TargetMode="External"/><Relationship Id="rId16" Type="http://schemas.openxmlformats.org/officeDocument/2006/relationships/hyperlink" Target="https://ec.europa.eu/commission/presscorner/api/files/document/print/en/ip_26_1596/IP_26_1596_EN.pdf" TargetMode="External"/><Relationship Id="rId17" Type="http://schemas.openxmlformats.org/officeDocument/2006/relationships/hyperlink" Target="https://www.globalelr.com/2026/07/european-commission-publishes-eu-ets-review-proposing-significant-reforms/" TargetMode="External"/><Relationship Id="rId18" Type="http://schemas.openxmlformats.org/officeDocument/2006/relationships/hyperlink" Target="https://www.resmigazete.gov.tr/eskiler/2026/08/20260827.htm" TargetMode="External"/><Relationship Id="rId19" Type="http://schemas.openxmlformats.org/officeDocument/2006/relationships/hyperlink" Target="https://iklim.gov.tr/tr-ets-pilot-uygulama-donemine-yonelik-karbon-piyasasi-kurulu-toplanti-kararlarina-kpk-2026-1-iliskin-duyuru-duyuru-45"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revision>3</cp:revision>
  <dcterms:modified xsi:type="dcterms:W3CDTF">2026-10-02T06:53:44Z</dcterms:modified>
</cp:coreProperties>
</file>